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 w:val="0"/>
          <w:bCs w:val="0"/>
          <w:color w:val="333333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宋体" w:hAnsi="宋体" w:eastAsia="宋体" w:cs="宋体"/>
          <w:b w:val="0"/>
          <w:bCs w:val="0"/>
          <w:color w:val="333333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黑体" w:hAnsi="黑体" w:eastAsia="黑体"/>
          <w:b/>
          <w:bCs/>
          <w:color w:val="333333"/>
          <w:kern w:val="0"/>
          <w:sz w:val="52"/>
          <w:szCs w:val="52"/>
        </w:rPr>
      </w:pPr>
      <w:r>
        <w:rPr>
          <w:rFonts w:hint="eastAsia" w:ascii="黑体" w:hAnsi="黑体" w:eastAsia="黑体"/>
          <w:b/>
          <w:bCs/>
          <w:color w:val="333333"/>
          <w:kern w:val="0"/>
          <w:sz w:val="52"/>
          <w:szCs w:val="52"/>
        </w:rPr>
        <w:t>朗县孜列寺管理委员会</w:t>
      </w:r>
    </w:p>
    <w:p>
      <w:pPr>
        <w:widowControl/>
        <w:jc w:val="center"/>
        <w:rPr>
          <w:color w:val="333333"/>
          <w:kern w:val="0"/>
          <w:szCs w:val="21"/>
        </w:rPr>
      </w:pPr>
      <w:r>
        <w:rPr>
          <w:rFonts w:hint="eastAsia" w:ascii="黑体" w:hAnsi="黑体" w:eastAsia="黑体"/>
          <w:b/>
          <w:bCs/>
          <w:color w:val="333333"/>
          <w:kern w:val="0"/>
          <w:sz w:val="52"/>
          <w:szCs w:val="52"/>
        </w:rPr>
        <w:t>20</w:t>
      </w:r>
      <w:r>
        <w:rPr>
          <w:rFonts w:hint="eastAsia" w:ascii="黑体" w:hAnsi="黑体" w:eastAsia="黑体"/>
          <w:b/>
          <w:bCs/>
          <w:color w:val="333333"/>
          <w:kern w:val="0"/>
          <w:sz w:val="52"/>
          <w:szCs w:val="52"/>
          <w:lang w:val="en-US" w:eastAsia="zh-CN"/>
        </w:rPr>
        <w:t>21</w:t>
      </w:r>
      <w:r>
        <w:rPr>
          <w:rFonts w:hint="eastAsia" w:ascii="黑体" w:hAnsi="黑体" w:eastAsia="黑体"/>
          <w:b/>
          <w:bCs/>
          <w:color w:val="333333"/>
          <w:kern w:val="0"/>
          <w:sz w:val="52"/>
          <w:szCs w:val="52"/>
        </w:rPr>
        <w:t>年度部门决算</w:t>
      </w:r>
    </w:p>
    <w:p>
      <w:pPr>
        <w:widowControl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> </w:t>
      </w:r>
    </w:p>
    <w:p>
      <w:pPr>
        <w:widowControl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> </w:t>
      </w:r>
    </w:p>
    <w:p>
      <w:pPr>
        <w:widowControl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> </w:t>
      </w:r>
    </w:p>
    <w:p>
      <w:pPr>
        <w:widowControl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> </w:t>
      </w:r>
    </w:p>
    <w:p>
      <w:pPr>
        <w:widowControl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> </w:t>
      </w:r>
    </w:p>
    <w:p>
      <w:pPr>
        <w:widowControl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> </w:t>
      </w:r>
    </w:p>
    <w:p>
      <w:pPr>
        <w:widowControl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> </w:t>
      </w:r>
    </w:p>
    <w:p>
      <w:pPr>
        <w:widowControl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> </w:t>
      </w:r>
    </w:p>
    <w:p>
      <w:pPr>
        <w:widowControl/>
        <w:rPr>
          <w:color w:val="333333"/>
          <w:kern w:val="0"/>
          <w:szCs w:val="21"/>
        </w:rPr>
      </w:pPr>
    </w:p>
    <w:p>
      <w:pPr>
        <w:widowControl/>
        <w:rPr>
          <w:color w:val="333333"/>
          <w:kern w:val="0"/>
          <w:szCs w:val="21"/>
        </w:rPr>
      </w:pPr>
    </w:p>
    <w:p>
      <w:pPr>
        <w:widowControl/>
        <w:jc w:val="center"/>
        <w:rPr>
          <w:color w:val="333333"/>
          <w:kern w:val="0"/>
          <w:szCs w:val="21"/>
        </w:rPr>
      </w:pPr>
      <w:r>
        <w:rPr>
          <w:rFonts w:hint="eastAsia" w:ascii="宋体" w:hAnsi="宋体"/>
          <w:color w:val="333333"/>
          <w:kern w:val="0"/>
          <w:sz w:val="32"/>
          <w:szCs w:val="32"/>
          <w:u w:val="single"/>
        </w:rPr>
        <w:t>    20</w:t>
      </w:r>
      <w:r>
        <w:rPr>
          <w:rFonts w:hint="eastAsia" w:ascii="宋体" w:hAnsi="宋体"/>
          <w:color w:val="333333"/>
          <w:kern w:val="0"/>
          <w:sz w:val="32"/>
          <w:szCs w:val="32"/>
          <w:u w:val="single"/>
          <w:lang w:val="en-US" w:eastAsia="zh-CN"/>
        </w:rPr>
        <w:t>22</w:t>
      </w:r>
      <w:r>
        <w:rPr>
          <w:rFonts w:hint="eastAsia" w:ascii="宋体" w:hAnsi="宋体"/>
          <w:color w:val="333333"/>
          <w:kern w:val="0"/>
          <w:sz w:val="32"/>
          <w:szCs w:val="32"/>
          <w:u w:val="single"/>
        </w:rPr>
        <w:t>    </w:t>
      </w:r>
      <w:r>
        <w:rPr>
          <w:rFonts w:hint="eastAsia" w:ascii="宋体" w:hAnsi="宋体"/>
          <w:color w:val="333333"/>
          <w:kern w:val="0"/>
          <w:sz w:val="32"/>
          <w:szCs w:val="32"/>
        </w:rPr>
        <w:t>年</w:t>
      </w:r>
      <w:r>
        <w:rPr>
          <w:rFonts w:hint="eastAsia" w:ascii="宋体" w:hAnsi="宋体"/>
          <w:color w:val="333333"/>
          <w:kern w:val="0"/>
          <w:sz w:val="32"/>
          <w:szCs w:val="32"/>
          <w:u w:val="single"/>
        </w:rPr>
        <w:t>  </w:t>
      </w:r>
      <w:r>
        <w:rPr>
          <w:rFonts w:hint="eastAsia" w:ascii="宋体" w:hAnsi="宋体"/>
          <w:color w:val="333333"/>
          <w:kern w:val="0"/>
          <w:sz w:val="32"/>
          <w:szCs w:val="32"/>
          <w:u w:val="single"/>
          <w:lang w:val="en-US" w:eastAsia="zh-CN"/>
        </w:rPr>
        <w:t xml:space="preserve">9 </w:t>
      </w:r>
      <w:r>
        <w:rPr>
          <w:rFonts w:hint="eastAsia" w:ascii="宋体" w:hAnsi="宋体"/>
          <w:color w:val="333333"/>
          <w:kern w:val="0"/>
          <w:sz w:val="32"/>
          <w:szCs w:val="32"/>
          <w:u w:val="single"/>
        </w:rPr>
        <w:t> </w:t>
      </w:r>
      <w:r>
        <w:rPr>
          <w:rFonts w:hint="eastAsia" w:ascii="宋体" w:hAnsi="宋体"/>
          <w:color w:val="333333"/>
          <w:kern w:val="0"/>
          <w:sz w:val="32"/>
          <w:szCs w:val="32"/>
        </w:rPr>
        <w:t>月</w:t>
      </w:r>
      <w:r>
        <w:rPr>
          <w:rFonts w:hint="eastAsia" w:ascii="宋体" w:hAnsi="宋体"/>
          <w:color w:val="333333"/>
          <w:kern w:val="0"/>
          <w:sz w:val="32"/>
          <w:szCs w:val="32"/>
          <w:u w:val="single"/>
        </w:rPr>
        <w:t>  </w:t>
      </w:r>
      <w:r>
        <w:rPr>
          <w:rFonts w:hint="eastAsia" w:ascii="宋体" w:hAnsi="宋体"/>
          <w:color w:val="333333"/>
          <w:kern w:val="0"/>
          <w:sz w:val="32"/>
          <w:szCs w:val="32"/>
          <w:u w:val="single"/>
          <w:lang w:val="en-US" w:eastAsia="zh-CN"/>
        </w:rPr>
        <w:t>28</w:t>
      </w:r>
      <w:r>
        <w:rPr>
          <w:rFonts w:hint="eastAsia" w:ascii="宋体" w:hAnsi="宋体"/>
          <w:color w:val="333333"/>
          <w:kern w:val="0"/>
          <w:sz w:val="32"/>
          <w:szCs w:val="32"/>
          <w:u w:val="single"/>
        </w:rPr>
        <w:t xml:space="preserve"> 日</w:t>
      </w:r>
    </w:p>
    <w:p>
      <w:pPr>
        <w:widowControl/>
        <w:rPr>
          <w:rFonts w:hint="eastAsia" w:ascii="宋体" w:hAnsi="宋体"/>
          <w:b/>
          <w:bCs/>
          <w:color w:val="333333"/>
          <w:kern w:val="0"/>
          <w:sz w:val="40"/>
          <w:szCs w:val="40"/>
        </w:rPr>
      </w:pPr>
      <w:r>
        <w:rPr>
          <w:color w:val="333333"/>
          <w:kern w:val="0"/>
          <w:szCs w:val="21"/>
        </w:rPr>
        <w:t> </w:t>
      </w:r>
    </w:p>
    <w:p>
      <w:pPr>
        <w:widowControl/>
        <w:spacing w:line="460" w:lineRule="atLeast"/>
        <w:jc w:val="center"/>
        <w:rPr>
          <w:color w:val="333333"/>
          <w:kern w:val="0"/>
          <w:szCs w:val="21"/>
        </w:rPr>
      </w:pPr>
      <w:r>
        <w:rPr>
          <w:rFonts w:hint="eastAsia" w:ascii="宋体" w:hAnsi="宋体"/>
          <w:b/>
          <w:bCs/>
          <w:color w:val="333333"/>
          <w:kern w:val="0"/>
          <w:sz w:val="40"/>
          <w:szCs w:val="40"/>
        </w:rPr>
        <w:t>目  录</w:t>
      </w:r>
    </w:p>
    <w:p>
      <w:pPr>
        <w:spacing w:before="312" w:beforeLines="100" w:after="312" w:afterLines="100" w:line="46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朗县</w:t>
      </w:r>
      <w:r>
        <w:rPr>
          <w:rFonts w:hint="eastAsia" w:ascii="黑体" w:hAnsi="宋体" w:eastAsia="黑体"/>
          <w:sz w:val="32"/>
          <w:szCs w:val="32"/>
          <w:lang w:eastAsia="zh-CN"/>
        </w:rPr>
        <w:t>孜列寺管委会</w:t>
      </w:r>
      <w:r>
        <w:rPr>
          <w:rFonts w:hint="eastAsia" w:ascii="黑体" w:hAnsi="宋体" w:eastAsia="黑体"/>
          <w:sz w:val="32"/>
          <w:szCs w:val="32"/>
        </w:rPr>
        <w:t>概</w:t>
      </w:r>
    </w:p>
    <w:p>
      <w:pPr>
        <w:spacing w:before="312" w:beforeLines="100" w:after="312" w:afterLines="100" w:line="460" w:lineRule="exact"/>
        <w:rPr>
          <w:rFonts w:hint="eastAsia" w:ascii="方正楷体简体" w:hAnsi="宋体" w:eastAsia="方正楷体简体"/>
          <w:sz w:val="32"/>
          <w:szCs w:val="32"/>
        </w:rPr>
      </w:pPr>
      <w:r>
        <w:rPr>
          <w:rFonts w:hint="eastAsia" w:ascii="方正楷体简体" w:hAnsi="宋体" w:eastAsia="方正楷体简体"/>
          <w:sz w:val="32"/>
          <w:szCs w:val="32"/>
        </w:rPr>
        <w:t>一、部门决算单位构成</w:t>
      </w:r>
    </w:p>
    <w:p>
      <w:pPr>
        <w:spacing w:before="312" w:beforeLines="100" w:after="312" w:afterLines="100" w:line="460" w:lineRule="exact"/>
        <w:rPr>
          <w:rFonts w:hint="eastAsia" w:ascii="方正楷体简体" w:hAnsi="宋体" w:eastAsia="方正楷体简体"/>
          <w:sz w:val="32"/>
          <w:szCs w:val="32"/>
        </w:rPr>
      </w:pPr>
      <w:r>
        <w:rPr>
          <w:rFonts w:hint="eastAsia" w:ascii="方正楷体简体" w:hAnsi="宋体" w:eastAsia="方正楷体简体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朗县</w:t>
      </w:r>
      <w:r>
        <w:rPr>
          <w:rFonts w:hint="eastAsia" w:ascii="黑体" w:hAnsi="宋体" w:eastAsia="黑体"/>
          <w:sz w:val="32"/>
          <w:szCs w:val="32"/>
          <w:lang w:eastAsia="zh-CN"/>
        </w:rPr>
        <w:t>孜列寺管委会</w:t>
      </w:r>
      <w:r>
        <w:rPr>
          <w:rFonts w:hint="eastAsia" w:ascii="黑体" w:hAnsi="宋体" w:eastAsia="黑体"/>
          <w:sz w:val="32"/>
          <w:szCs w:val="32"/>
        </w:rPr>
        <w:t>20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21</w:t>
      </w:r>
      <w:r>
        <w:rPr>
          <w:rFonts w:hint="eastAsia" w:ascii="黑体" w:hAnsi="宋体" w:eastAsia="黑体"/>
          <w:sz w:val="32"/>
          <w:szCs w:val="32"/>
        </w:rPr>
        <w:t>年度决算明细表</w:t>
      </w:r>
    </w:p>
    <w:p>
      <w:pPr>
        <w:spacing w:before="312" w:beforeLines="100" w:after="312" w:afterLines="100" w:line="460" w:lineRule="exact"/>
        <w:rPr>
          <w:rFonts w:hint="eastAsia" w:ascii="方正楷体简体" w:hAnsi="宋体" w:eastAsia="方正楷体简体"/>
          <w:sz w:val="32"/>
          <w:szCs w:val="32"/>
        </w:rPr>
      </w:pPr>
      <w:r>
        <w:rPr>
          <w:rFonts w:hint="eastAsia" w:ascii="方正楷体简体" w:hAnsi="宋体" w:eastAsia="方正楷体简体"/>
          <w:sz w:val="32"/>
          <w:szCs w:val="32"/>
        </w:rPr>
        <w:t>一、收支决算总表</w:t>
      </w:r>
    </w:p>
    <w:p>
      <w:pPr>
        <w:spacing w:before="312" w:beforeLines="100" w:after="312" w:afterLines="100" w:line="460" w:lineRule="exact"/>
        <w:rPr>
          <w:rFonts w:hint="eastAsia" w:ascii="方正楷体简体" w:hAnsi="宋体" w:eastAsia="方正楷体简体"/>
          <w:sz w:val="32"/>
          <w:szCs w:val="32"/>
        </w:rPr>
      </w:pPr>
      <w:r>
        <w:rPr>
          <w:rFonts w:hint="eastAsia" w:ascii="方正楷体简体" w:hAnsi="宋体" w:eastAsia="方正楷体简体"/>
          <w:sz w:val="32"/>
          <w:szCs w:val="32"/>
        </w:rPr>
        <w:t>二、收入决算总表</w:t>
      </w:r>
    </w:p>
    <w:p>
      <w:pPr>
        <w:spacing w:before="312" w:beforeLines="100" w:after="312" w:afterLines="100" w:line="460" w:lineRule="exact"/>
        <w:rPr>
          <w:rFonts w:hint="eastAsia" w:ascii="方正楷体简体" w:hAnsi="宋体" w:eastAsia="方正楷体简体"/>
          <w:sz w:val="32"/>
          <w:szCs w:val="32"/>
        </w:rPr>
      </w:pPr>
      <w:r>
        <w:rPr>
          <w:rFonts w:hint="eastAsia" w:ascii="方正楷体简体" w:hAnsi="宋体" w:eastAsia="方正楷体简体"/>
          <w:sz w:val="32"/>
          <w:szCs w:val="32"/>
        </w:rPr>
        <w:t>三、支出决算总表</w:t>
      </w:r>
    </w:p>
    <w:p>
      <w:pPr>
        <w:spacing w:before="312" w:beforeLines="100" w:after="312" w:afterLines="100" w:line="460" w:lineRule="exact"/>
        <w:rPr>
          <w:rFonts w:hint="eastAsia" w:ascii="方正楷体简体" w:hAnsi="宋体" w:eastAsia="方正楷体简体"/>
          <w:sz w:val="32"/>
          <w:szCs w:val="32"/>
        </w:rPr>
      </w:pPr>
      <w:r>
        <w:rPr>
          <w:rFonts w:hint="eastAsia" w:ascii="方正楷体简体" w:hAnsi="宋体" w:eastAsia="方正楷体简体"/>
          <w:sz w:val="32"/>
          <w:szCs w:val="32"/>
        </w:rPr>
        <w:t>四、财政拨款收支决算总表</w:t>
      </w:r>
    </w:p>
    <w:p>
      <w:pPr>
        <w:spacing w:before="312" w:beforeLines="100" w:after="312" w:afterLines="100" w:line="460" w:lineRule="exact"/>
        <w:rPr>
          <w:rFonts w:hint="eastAsia" w:ascii="方正楷体简体" w:hAnsi="宋体" w:eastAsia="方正楷体简体"/>
          <w:sz w:val="32"/>
          <w:szCs w:val="32"/>
        </w:rPr>
      </w:pPr>
      <w:r>
        <w:rPr>
          <w:rFonts w:hint="eastAsia" w:ascii="方正楷体简体" w:hAnsi="宋体" w:eastAsia="方正楷体简体"/>
          <w:sz w:val="32"/>
          <w:szCs w:val="32"/>
        </w:rPr>
        <w:t>五、一般公共预算财政拨款支出决算表</w:t>
      </w:r>
    </w:p>
    <w:p>
      <w:pPr>
        <w:spacing w:before="312" w:beforeLines="100" w:after="312" w:afterLines="100" w:line="460" w:lineRule="exact"/>
        <w:rPr>
          <w:rFonts w:hint="eastAsia" w:ascii="方正楷体简体" w:hAnsi="宋体" w:eastAsia="方正楷体简体"/>
          <w:sz w:val="32"/>
          <w:szCs w:val="32"/>
        </w:rPr>
      </w:pPr>
      <w:r>
        <w:rPr>
          <w:rFonts w:hint="eastAsia" w:ascii="方正楷体简体" w:hAnsi="宋体" w:eastAsia="方正楷体简体"/>
          <w:sz w:val="32"/>
          <w:szCs w:val="32"/>
        </w:rPr>
        <w:t>六、一般公共预算财政拨款基本支出决算表</w:t>
      </w:r>
    </w:p>
    <w:p>
      <w:pPr>
        <w:spacing w:before="312" w:beforeLines="100" w:after="312" w:afterLines="100" w:line="460" w:lineRule="exact"/>
        <w:rPr>
          <w:rFonts w:hint="eastAsia" w:ascii="方正楷体简体" w:hAnsi="宋体" w:eastAsia="方正楷体简体"/>
          <w:sz w:val="32"/>
          <w:szCs w:val="32"/>
        </w:rPr>
      </w:pPr>
      <w:r>
        <w:rPr>
          <w:rFonts w:hint="eastAsia" w:ascii="方正楷体简体" w:hAnsi="宋体" w:eastAsia="方正楷体简体"/>
          <w:sz w:val="32"/>
          <w:szCs w:val="32"/>
        </w:rPr>
        <w:t>七、一般公共预算相关经费支出决算表</w:t>
      </w:r>
    </w:p>
    <w:p>
      <w:pPr>
        <w:spacing w:before="312" w:beforeLines="100" w:after="312" w:afterLines="100" w:line="460" w:lineRule="exact"/>
        <w:rPr>
          <w:rFonts w:hint="eastAsia" w:ascii="方正楷体简体" w:hAnsi="宋体" w:eastAsia="方正楷体简体"/>
          <w:sz w:val="32"/>
          <w:szCs w:val="32"/>
        </w:rPr>
      </w:pPr>
      <w:r>
        <w:rPr>
          <w:rFonts w:hint="eastAsia" w:ascii="方正楷体简体" w:hAnsi="宋体" w:eastAsia="方正楷体简体"/>
          <w:sz w:val="32"/>
          <w:szCs w:val="32"/>
        </w:rPr>
        <w:t>八、政府性基金预算财政拨款收支决算表</w:t>
      </w:r>
    </w:p>
    <w:p>
      <w:pPr>
        <w:spacing w:before="312" w:beforeLines="100" w:after="312" w:afterLines="100" w:line="46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朗县</w:t>
      </w:r>
      <w:r>
        <w:rPr>
          <w:rFonts w:hint="eastAsia" w:ascii="黑体" w:hAnsi="宋体" w:eastAsia="黑体"/>
          <w:sz w:val="32"/>
          <w:szCs w:val="32"/>
          <w:lang w:eastAsia="zh-CN"/>
        </w:rPr>
        <w:t>孜列寺管委会</w:t>
      </w:r>
      <w:r>
        <w:rPr>
          <w:rFonts w:hint="eastAsia" w:ascii="黑体" w:hAnsi="宋体" w:eastAsia="黑体"/>
          <w:sz w:val="32"/>
          <w:szCs w:val="32"/>
        </w:rPr>
        <w:t>20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21</w:t>
      </w:r>
      <w:r>
        <w:rPr>
          <w:rFonts w:hint="eastAsia" w:ascii="黑体" w:hAnsi="宋体" w:eastAsia="黑体"/>
          <w:sz w:val="32"/>
          <w:szCs w:val="32"/>
        </w:rPr>
        <w:t>年度决算情况说明</w:t>
      </w:r>
    </w:p>
    <w:p>
      <w:pPr>
        <w:spacing w:before="312" w:beforeLines="100" w:after="312" w:afterLines="100" w:line="46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before="312" w:beforeLines="100" w:after="312" w:afterLines="100" w:line="46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before="312" w:beforeLines="100" w:after="312" w:afterLines="100" w:line="46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before="312" w:beforeLines="100" w:after="312" w:afterLines="100" w:line="46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before="312" w:beforeLines="100" w:after="312" w:afterLines="100" w:line="46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before="312" w:beforeLines="100" w:after="312" w:afterLines="100" w:line="46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before="312" w:beforeLines="100" w:after="312" w:afterLines="100" w:line="46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before="312" w:beforeLines="100" w:after="312" w:afterLines="100" w:line="46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before="312" w:beforeLines="100" w:after="312" w:afterLines="100" w:line="46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before="312" w:beforeLines="100" w:after="312" w:afterLines="100" w:line="46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before="312" w:beforeLines="100" w:after="312" w:afterLines="100" w:line="460" w:lineRule="exact"/>
        <w:rPr>
          <w:rFonts w:hint="eastAsia" w:ascii="黑体" w:hAnsi="宋体" w:eastAsia="黑体"/>
          <w:sz w:val="32"/>
          <w:szCs w:val="32"/>
        </w:rPr>
      </w:pPr>
    </w:p>
    <w:p>
      <w:pPr>
        <w:widowControl/>
        <w:spacing w:line="460" w:lineRule="atLeast"/>
        <w:jc w:val="center"/>
        <w:rPr>
          <w:rFonts w:hint="eastAsia" w:ascii="黑体" w:hAnsi="黑体" w:eastAsia="黑体" w:cs="黑体"/>
          <w:b w:val="0"/>
          <w:bCs w:val="0"/>
          <w:color w:val="333333"/>
          <w:kern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48"/>
          <w:szCs w:val="48"/>
        </w:rPr>
        <w:t>第一部分</w:t>
      </w:r>
    </w:p>
    <w:p>
      <w:pPr>
        <w:widowControl/>
        <w:spacing w:line="460" w:lineRule="atLeast"/>
        <w:jc w:val="center"/>
        <w:rPr>
          <w:rFonts w:hint="eastAsia" w:ascii="黑体" w:hAnsi="黑体" w:eastAsia="黑体" w:cs="黑体"/>
          <w:b w:val="0"/>
          <w:bCs w:val="0"/>
          <w:color w:val="333333"/>
          <w:kern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Cs w:val="21"/>
        </w:rPr>
        <w:t> </w:t>
      </w:r>
    </w:p>
    <w:p>
      <w:pPr>
        <w:widowControl/>
        <w:spacing w:line="460" w:lineRule="atLeast"/>
        <w:jc w:val="center"/>
        <w:rPr>
          <w:rFonts w:hint="eastAsia" w:ascii="黑体" w:hAnsi="黑体" w:eastAsia="黑体" w:cs="黑体"/>
          <w:b w:val="0"/>
          <w:bCs w:val="0"/>
          <w:color w:val="333333"/>
          <w:kern w:val="0"/>
          <w:sz w:val="48"/>
          <w:szCs w:val="48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48"/>
          <w:szCs w:val="48"/>
        </w:rPr>
        <w:t>朗县孜列寺管理委员会概况</w:t>
      </w:r>
    </w:p>
    <w:p>
      <w:pPr>
        <w:widowControl/>
        <w:spacing w:line="460" w:lineRule="atLeast"/>
        <w:jc w:val="center"/>
        <w:rPr>
          <w:rFonts w:hint="eastAsia" w:ascii="黑体" w:hAnsi="黑体" w:eastAsia="黑体" w:cs="黑体"/>
          <w:b w:val="0"/>
          <w:bCs w:val="0"/>
          <w:color w:val="333333"/>
          <w:kern w:val="0"/>
          <w:sz w:val="48"/>
          <w:szCs w:val="48"/>
        </w:rPr>
      </w:pPr>
    </w:p>
    <w:p>
      <w:pPr>
        <w:widowControl/>
        <w:spacing w:line="460" w:lineRule="atLeast"/>
        <w:jc w:val="center"/>
        <w:rPr>
          <w:rFonts w:hint="eastAsia" w:ascii="黑体" w:hAnsi="黑体" w:eastAsia="黑体" w:cs="黑体"/>
          <w:b w:val="0"/>
          <w:bCs w:val="0"/>
          <w:color w:val="333333"/>
          <w:kern w:val="0"/>
          <w:sz w:val="48"/>
          <w:szCs w:val="48"/>
        </w:rPr>
      </w:pPr>
    </w:p>
    <w:p>
      <w:pPr>
        <w:widowControl/>
        <w:spacing w:line="460" w:lineRule="atLeast"/>
        <w:jc w:val="center"/>
        <w:rPr>
          <w:rFonts w:hint="eastAsia" w:ascii="黑体" w:hAnsi="黑体" w:eastAsia="黑体" w:cs="黑体"/>
          <w:b w:val="0"/>
          <w:bCs w:val="0"/>
          <w:color w:val="333333"/>
          <w:kern w:val="0"/>
          <w:sz w:val="48"/>
          <w:szCs w:val="48"/>
        </w:rPr>
      </w:pPr>
    </w:p>
    <w:p>
      <w:pPr>
        <w:widowControl/>
        <w:spacing w:line="460" w:lineRule="atLeast"/>
        <w:jc w:val="center"/>
        <w:rPr>
          <w:rFonts w:hint="eastAsia" w:ascii="黑体" w:hAnsi="黑体" w:eastAsia="黑体" w:cs="黑体"/>
          <w:b w:val="0"/>
          <w:bCs w:val="0"/>
          <w:color w:val="333333"/>
          <w:kern w:val="0"/>
          <w:sz w:val="48"/>
          <w:szCs w:val="48"/>
        </w:rPr>
      </w:pPr>
    </w:p>
    <w:p>
      <w:pPr>
        <w:widowControl/>
        <w:spacing w:line="460" w:lineRule="atLeast"/>
        <w:jc w:val="center"/>
        <w:rPr>
          <w:rFonts w:hint="eastAsia" w:ascii="黑体" w:hAnsi="黑体" w:eastAsia="黑体" w:cs="黑体"/>
          <w:b w:val="0"/>
          <w:bCs w:val="0"/>
          <w:color w:val="333333"/>
          <w:kern w:val="0"/>
          <w:sz w:val="48"/>
          <w:szCs w:val="48"/>
        </w:rPr>
      </w:pPr>
    </w:p>
    <w:p>
      <w:pPr>
        <w:widowControl/>
        <w:ind w:firstLine="630"/>
        <w:rPr>
          <w:color w:val="333333"/>
          <w:kern w:val="0"/>
          <w:szCs w:val="21"/>
        </w:rPr>
      </w:pPr>
      <w:r>
        <w:rPr>
          <w:rFonts w:hint="eastAsia" w:ascii="黑体" w:hAnsi="黑体" w:eastAsia="黑体"/>
          <w:b/>
          <w:bCs/>
          <w:color w:val="333333"/>
          <w:kern w:val="0"/>
          <w:sz w:val="32"/>
          <w:szCs w:val="32"/>
        </w:rPr>
        <w:t>一、部门决算单位构成</w:t>
      </w:r>
    </w:p>
    <w:p>
      <w:pPr>
        <w:widowControl/>
        <w:ind w:firstLine="640"/>
        <w:rPr>
          <w:color w:val="333333"/>
          <w:kern w:val="0"/>
          <w:szCs w:val="21"/>
        </w:rPr>
      </w:pPr>
      <w:r>
        <w:rPr>
          <w:rFonts w:hint="eastAsia" w:ascii="方正仿宋简体" w:hAnsi="宋体" w:eastAsia="方正仿宋简体" w:cs="宋体"/>
          <w:sz w:val="32"/>
          <w:szCs w:val="32"/>
          <w:lang w:eastAsia="zh-CN"/>
        </w:rPr>
        <w:t>纳入朗县孜列寺管理委员会20</w:t>
      </w:r>
      <w:r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  <w:t>21</w:t>
      </w:r>
      <w:r>
        <w:rPr>
          <w:rFonts w:hint="eastAsia" w:ascii="方正仿宋简体" w:hAnsi="宋体" w:eastAsia="方正仿宋简体" w:cs="宋体"/>
          <w:sz w:val="32"/>
          <w:szCs w:val="32"/>
          <w:lang w:eastAsia="zh-CN"/>
        </w:rPr>
        <w:t>年度部门决算孜列寺管理委员会部门。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黑体" w:hAnsi="宋体" w:eastAsia="黑体"/>
          <w:b/>
          <w:sz w:val="32"/>
          <w:szCs w:val="32"/>
          <w:lang w:eastAsia="zh-CN"/>
        </w:rPr>
      </w:pP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二、</w:t>
      </w:r>
      <w:r>
        <w:rPr>
          <w:rFonts w:hint="eastAsia" w:ascii="黑体" w:hAnsi="宋体" w:eastAsia="黑体"/>
          <w:b/>
          <w:sz w:val="32"/>
          <w:szCs w:val="32"/>
        </w:rPr>
        <w:t>部门职责</w:t>
      </w:r>
      <w:r>
        <w:rPr>
          <w:rFonts w:hint="eastAsia" w:ascii="黑体" w:hAnsi="宋体" w:eastAsia="黑体"/>
          <w:b/>
          <w:sz w:val="32"/>
          <w:szCs w:val="32"/>
          <w:lang w:eastAsia="zh-CN"/>
        </w:rPr>
        <w:t>和机构设置</w:t>
      </w:r>
    </w:p>
    <w:p>
      <w:pPr>
        <w:numPr>
          <w:ilvl w:val="0"/>
          <w:numId w:val="0"/>
        </w:numPr>
        <w:jc w:val="left"/>
        <w:rPr>
          <w:rFonts w:hint="eastAsia" w:ascii="方正仿宋简体" w:hAnsi="宋体" w:eastAsia="方正仿宋简体" w:cs="宋体"/>
          <w:sz w:val="32"/>
          <w:szCs w:val="32"/>
          <w:lang w:eastAsia="zh-CN"/>
        </w:rPr>
      </w:pPr>
      <w:r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宋体" w:eastAsia="方正仿宋简体" w:cs="宋体"/>
          <w:sz w:val="32"/>
          <w:szCs w:val="32"/>
          <w:lang w:eastAsia="zh-CN"/>
        </w:rPr>
        <w:t>（一）部门职责</w:t>
      </w:r>
    </w:p>
    <w:p>
      <w:pPr>
        <w:widowControl/>
        <w:ind w:firstLine="640"/>
        <w:rPr>
          <w:rFonts w:hint="eastAsia" w:ascii="方正仿宋简体" w:hAnsi="宋体" w:eastAsia="方正仿宋简体" w:cs="宋体"/>
          <w:sz w:val="32"/>
          <w:szCs w:val="32"/>
          <w:lang w:eastAsia="zh-CN"/>
        </w:rPr>
      </w:pPr>
      <w:r>
        <w:rPr>
          <w:rFonts w:hint="eastAsia" w:ascii="方正仿宋简体" w:hAnsi="宋体" w:eastAsia="方正仿宋简体" w:cs="宋体"/>
          <w:sz w:val="32"/>
          <w:szCs w:val="32"/>
          <w:lang w:eastAsia="zh-CN"/>
        </w:rPr>
        <w:t>朗县孜列寺管理委员会（正科单位）是为朗县主要领导同志服务的县级办事机构，主要履行下列职责：</w:t>
      </w:r>
    </w:p>
    <w:p>
      <w:pPr>
        <w:widowControl/>
        <w:ind w:firstLine="640"/>
        <w:rPr>
          <w:rFonts w:hint="eastAsia" w:ascii="方正仿宋简体" w:hAnsi="宋体" w:eastAsia="方正仿宋简体" w:cs="宋体"/>
          <w:sz w:val="32"/>
          <w:szCs w:val="32"/>
          <w:lang w:eastAsia="zh-CN"/>
        </w:rPr>
      </w:pPr>
      <w:r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  <w:t>1、</w:t>
      </w:r>
      <w:r>
        <w:rPr>
          <w:rFonts w:hint="eastAsia" w:ascii="方正仿宋简体" w:hAnsi="宋体" w:eastAsia="方正仿宋简体" w:cs="宋体"/>
          <w:sz w:val="32"/>
          <w:szCs w:val="32"/>
          <w:lang w:eastAsia="zh-CN"/>
        </w:rPr>
        <w:t>贯彻执行党的宗教工作基本方针和国家管理宗教事务法律县委法规，依法履行寺庙僧尼的管理、服务、教育职能，促进寺庙和谐稳定；</w:t>
      </w:r>
    </w:p>
    <w:p>
      <w:pPr>
        <w:widowControl/>
        <w:ind w:firstLine="640"/>
        <w:rPr>
          <w:rFonts w:hint="eastAsia" w:ascii="方正仿宋简体" w:hAnsi="宋体" w:eastAsia="方正仿宋简体" w:cs="宋体"/>
          <w:sz w:val="32"/>
          <w:szCs w:val="32"/>
          <w:lang w:eastAsia="zh-CN"/>
        </w:rPr>
      </w:pPr>
      <w:r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  <w:t>2、</w:t>
      </w:r>
      <w:r>
        <w:rPr>
          <w:rFonts w:hint="eastAsia" w:ascii="方正仿宋简体" w:hAnsi="宋体" w:eastAsia="方正仿宋简体" w:cs="宋体"/>
          <w:sz w:val="32"/>
          <w:szCs w:val="32"/>
          <w:lang w:eastAsia="zh-CN"/>
        </w:rPr>
        <w:t>制定并组织实施寺庙的管理制度，维护寺庙佛事活动正常秩序；</w:t>
      </w:r>
    </w:p>
    <w:p>
      <w:pPr>
        <w:widowControl/>
        <w:ind w:firstLine="640"/>
        <w:rPr>
          <w:rFonts w:hint="eastAsia" w:ascii="方正仿宋简体" w:hAnsi="宋体" w:eastAsia="方正仿宋简体" w:cs="宋体"/>
          <w:sz w:val="32"/>
          <w:szCs w:val="32"/>
          <w:lang w:eastAsia="zh-CN"/>
        </w:rPr>
      </w:pPr>
      <w:r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  <w:t>3、</w:t>
      </w:r>
      <w:r>
        <w:rPr>
          <w:rFonts w:hint="eastAsia" w:ascii="方正仿宋简体" w:hAnsi="宋体" w:eastAsia="方正仿宋简体" w:cs="宋体"/>
          <w:sz w:val="32"/>
          <w:szCs w:val="32"/>
          <w:lang w:eastAsia="zh-CN"/>
        </w:rPr>
        <w:t>组织寺庙僧尼学习党的民族、宗教政策及国家有关法律、法规、规章，加强宗教和睦与民族团结宣传教育，维护祖国统一、加强民族团结、反对分裂，揭批十四世达赖祸藏乱教的罪行；</w:t>
      </w:r>
    </w:p>
    <w:p>
      <w:pPr>
        <w:widowControl/>
        <w:ind w:firstLine="640"/>
        <w:rPr>
          <w:rFonts w:hint="eastAsia" w:ascii="方正仿宋简体" w:hAnsi="宋体" w:eastAsia="方正仿宋简体" w:cs="宋体"/>
          <w:sz w:val="32"/>
          <w:szCs w:val="32"/>
          <w:lang w:eastAsia="zh-CN"/>
        </w:rPr>
      </w:pPr>
      <w:r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  <w:t>4、</w:t>
      </w:r>
      <w:r>
        <w:rPr>
          <w:rFonts w:hint="eastAsia" w:ascii="方正仿宋简体" w:hAnsi="宋体" w:eastAsia="方正仿宋简体" w:cs="宋体"/>
          <w:sz w:val="32"/>
          <w:szCs w:val="32"/>
          <w:lang w:eastAsia="zh-CN"/>
        </w:rPr>
        <w:t>组织实施僧尼的学习教育培训工作，积极开展和谐模范寺庙暨爱国守法先进僧尼创建评选活动，引导宗教与社会主义社会相适应；</w:t>
      </w:r>
    </w:p>
    <w:p>
      <w:pPr>
        <w:widowControl/>
        <w:ind w:firstLine="640"/>
        <w:rPr>
          <w:rFonts w:hint="eastAsia" w:ascii="方正仿宋简体" w:hAnsi="宋体" w:eastAsia="方正仿宋简体" w:cs="宋体"/>
          <w:sz w:val="32"/>
          <w:szCs w:val="32"/>
          <w:lang w:eastAsia="zh-CN"/>
        </w:rPr>
      </w:pPr>
      <w:r>
        <w:rPr>
          <w:rFonts w:hint="eastAsia" w:ascii="方正仿宋简体" w:hAnsi="宋体" w:eastAsia="方正仿宋简体" w:cs="宋体"/>
          <w:sz w:val="32"/>
          <w:szCs w:val="32"/>
          <w:lang w:eastAsia="zh-CN"/>
        </w:rPr>
        <w:t> </w:t>
      </w:r>
    </w:p>
    <w:p>
      <w:pPr>
        <w:widowControl/>
        <w:ind w:firstLine="640"/>
        <w:rPr>
          <w:rFonts w:hint="eastAsia" w:ascii="方正仿宋简体" w:hAnsi="宋体" w:eastAsia="方正仿宋简体" w:cs="宋体"/>
          <w:sz w:val="32"/>
          <w:szCs w:val="32"/>
          <w:lang w:eastAsia="zh-CN"/>
        </w:rPr>
      </w:pPr>
      <w:r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  <w:t>5、</w:t>
      </w:r>
      <w:r>
        <w:rPr>
          <w:rFonts w:hint="eastAsia" w:ascii="方正仿宋简体" w:hAnsi="宋体" w:eastAsia="方正仿宋简体" w:cs="宋体"/>
          <w:sz w:val="32"/>
          <w:szCs w:val="32"/>
          <w:lang w:eastAsia="zh-CN"/>
        </w:rPr>
        <w:t>依法保护管理寺庙文物和资产；</w:t>
      </w:r>
    </w:p>
    <w:p>
      <w:pPr>
        <w:widowControl/>
        <w:ind w:firstLine="640"/>
        <w:rPr>
          <w:rFonts w:hint="eastAsia" w:ascii="方正仿宋简体" w:hAnsi="宋体" w:eastAsia="方正仿宋简体" w:cs="宋体"/>
          <w:sz w:val="32"/>
          <w:szCs w:val="32"/>
          <w:lang w:eastAsia="zh-CN"/>
        </w:rPr>
      </w:pPr>
      <w:r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  <w:t>6、</w:t>
      </w:r>
      <w:r>
        <w:rPr>
          <w:rFonts w:hint="eastAsia" w:ascii="方正仿宋简体" w:hAnsi="宋体" w:eastAsia="方正仿宋简体" w:cs="宋体"/>
          <w:sz w:val="32"/>
          <w:szCs w:val="32"/>
          <w:lang w:eastAsia="zh-CN"/>
        </w:rPr>
        <w:t>组织开展寺庙自营产业和社会公益慈善事业；</w:t>
      </w:r>
    </w:p>
    <w:p>
      <w:pPr>
        <w:widowControl/>
        <w:ind w:firstLine="640"/>
        <w:rPr>
          <w:rFonts w:hint="eastAsia" w:ascii="方正仿宋简体" w:hAnsi="宋体" w:eastAsia="方正仿宋简体" w:cs="宋体"/>
          <w:sz w:val="32"/>
          <w:szCs w:val="32"/>
          <w:lang w:eastAsia="zh-CN"/>
        </w:rPr>
      </w:pPr>
      <w:r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  <w:t>7、</w:t>
      </w:r>
      <w:r>
        <w:rPr>
          <w:rFonts w:hint="eastAsia" w:ascii="方正仿宋简体" w:hAnsi="宋体" w:eastAsia="方正仿宋简体" w:cs="宋体"/>
          <w:sz w:val="32"/>
          <w:szCs w:val="32"/>
          <w:lang w:eastAsia="zh-CN"/>
        </w:rPr>
        <w:t>维护寺庙治安秩序、消防安全和环境卫生；</w:t>
      </w:r>
    </w:p>
    <w:p>
      <w:pPr>
        <w:widowControl/>
        <w:ind w:firstLine="640"/>
        <w:rPr>
          <w:rFonts w:hint="eastAsia" w:ascii="方正仿宋简体" w:hAnsi="宋体" w:eastAsia="方正仿宋简体" w:cs="宋体"/>
          <w:sz w:val="32"/>
          <w:szCs w:val="32"/>
          <w:lang w:eastAsia="zh-CN"/>
        </w:rPr>
      </w:pPr>
      <w:r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  <w:t>8、</w:t>
      </w:r>
      <w:r>
        <w:rPr>
          <w:rFonts w:hint="eastAsia" w:ascii="方正仿宋简体" w:hAnsi="宋体" w:eastAsia="方正仿宋简体" w:cs="宋体"/>
          <w:sz w:val="32"/>
          <w:szCs w:val="32"/>
          <w:lang w:eastAsia="zh-CN"/>
        </w:rPr>
        <w:t>做好寺庙和僧尼的基本公共服务，协调解决寺庙僧尼的困难和问题，协调落实僧尼医保、低保、养老、人身意外伤害保险等工作；</w:t>
      </w:r>
    </w:p>
    <w:p>
      <w:pPr>
        <w:widowControl/>
        <w:ind w:firstLine="640"/>
        <w:rPr>
          <w:rFonts w:hint="eastAsia" w:ascii="方正仿宋简体" w:hAnsi="宋体" w:eastAsia="方正仿宋简体" w:cs="宋体"/>
          <w:sz w:val="32"/>
          <w:szCs w:val="32"/>
          <w:lang w:eastAsia="zh-CN"/>
        </w:rPr>
      </w:pPr>
      <w:r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  <w:t>9、</w:t>
      </w:r>
      <w:r>
        <w:rPr>
          <w:rFonts w:hint="eastAsia" w:ascii="方正仿宋简体" w:hAnsi="宋体" w:eastAsia="方正仿宋简体" w:cs="宋体"/>
          <w:sz w:val="32"/>
          <w:szCs w:val="32"/>
          <w:lang w:eastAsia="zh-CN"/>
        </w:rPr>
        <w:t>协调寺庙与社会其他方面的关系，维护寺庙和僧尼的合法权益；</w:t>
      </w:r>
    </w:p>
    <w:p>
      <w:pPr>
        <w:widowControl/>
        <w:ind w:firstLine="640"/>
        <w:rPr>
          <w:rFonts w:hint="eastAsia" w:ascii="方正仿宋简体" w:hAnsi="宋体" w:eastAsia="方正仿宋简体" w:cs="宋体"/>
          <w:sz w:val="32"/>
          <w:szCs w:val="32"/>
          <w:lang w:eastAsia="zh-CN"/>
        </w:rPr>
      </w:pPr>
      <w:r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  <w:t>10、</w:t>
      </w:r>
      <w:r>
        <w:rPr>
          <w:rFonts w:hint="eastAsia" w:ascii="方正仿宋简体" w:hAnsi="宋体" w:eastAsia="方正仿宋简体" w:cs="宋体"/>
          <w:sz w:val="32"/>
          <w:szCs w:val="32"/>
          <w:lang w:eastAsia="zh-CN"/>
        </w:rPr>
        <w:t>承办县委、政府及统战民宗等部门交办的其他事项。</w:t>
      </w:r>
    </w:p>
    <w:p>
      <w:pPr>
        <w:widowControl/>
        <w:ind w:firstLine="640"/>
        <w:rPr>
          <w:rFonts w:hint="eastAsia" w:ascii="方正仿宋简体" w:hAnsi="宋体" w:eastAsia="方正仿宋简体" w:cs="宋体"/>
          <w:sz w:val="32"/>
          <w:szCs w:val="32"/>
          <w:lang w:eastAsia="zh-CN"/>
        </w:rPr>
      </w:pPr>
      <w:r>
        <w:rPr>
          <w:rFonts w:hint="eastAsia" w:ascii="方正仿宋简体" w:hAnsi="宋体" w:eastAsia="方正仿宋简体" w:cs="宋体"/>
          <w:sz w:val="32"/>
          <w:szCs w:val="32"/>
          <w:lang w:eastAsia="zh-CN"/>
        </w:rPr>
        <w:t>二、部门机构设置</w:t>
      </w:r>
    </w:p>
    <w:p>
      <w:pPr>
        <w:widowControl/>
        <w:ind w:firstLine="640"/>
        <w:rPr>
          <w:rFonts w:hint="eastAsia" w:ascii="方正仿宋简体" w:hAnsi="宋体" w:eastAsia="方正仿宋简体" w:cs="宋体"/>
          <w:sz w:val="32"/>
          <w:szCs w:val="32"/>
          <w:lang w:eastAsia="zh-CN"/>
        </w:rPr>
      </w:pPr>
      <w:r>
        <w:rPr>
          <w:rFonts w:hint="eastAsia" w:ascii="方正仿宋简体" w:hAnsi="宋体" w:eastAsia="方正仿宋简体" w:cs="宋体"/>
          <w:sz w:val="32"/>
          <w:szCs w:val="32"/>
          <w:lang w:eastAsia="zh-CN"/>
        </w:rPr>
        <w:t>孜列寺管理委员会设置综合性办公室。</w:t>
      </w:r>
    </w:p>
    <w:p>
      <w:pPr>
        <w:widowControl/>
        <w:ind w:firstLine="803"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> </w:t>
      </w:r>
    </w:p>
    <w:p>
      <w:pPr>
        <w:widowControl/>
        <w:spacing w:line="460" w:lineRule="atLeast"/>
        <w:jc w:val="center"/>
        <w:rPr>
          <w:rFonts w:hint="eastAsia" w:ascii="黑体" w:hAnsi="黑体" w:eastAsia="黑体"/>
          <w:color w:val="333333"/>
          <w:kern w:val="0"/>
          <w:sz w:val="48"/>
          <w:szCs w:val="48"/>
        </w:rPr>
      </w:pPr>
    </w:p>
    <w:p>
      <w:pPr>
        <w:widowControl/>
        <w:spacing w:line="460" w:lineRule="atLeast"/>
        <w:jc w:val="both"/>
        <w:rPr>
          <w:rFonts w:hint="eastAsia" w:ascii="黑体" w:hAnsi="黑体" w:eastAsia="黑体"/>
          <w:color w:val="333333"/>
          <w:kern w:val="0"/>
          <w:sz w:val="32"/>
          <w:szCs w:val="32"/>
        </w:rPr>
      </w:pPr>
    </w:p>
    <w:p>
      <w:pPr>
        <w:widowControl/>
        <w:spacing w:line="460" w:lineRule="atLeast"/>
        <w:jc w:val="both"/>
        <w:rPr>
          <w:rFonts w:hint="eastAsia" w:ascii="黑体" w:hAnsi="黑体" w:eastAsia="黑体"/>
          <w:color w:val="333333"/>
          <w:kern w:val="0"/>
          <w:sz w:val="32"/>
          <w:szCs w:val="32"/>
        </w:rPr>
      </w:pPr>
    </w:p>
    <w:p>
      <w:pPr>
        <w:widowControl/>
        <w:spacing w:line="460" w:lineRule="atLeast"/>
        <w:jc w:val="both"/>
        <w:rPr>
          <w:rFonts w:hint="eastAsia" w:ascii="黑体" w:hAnsi="黑体" w:eastAsia="黑体"/>
          <w:color w:val="333333"/>
          <w:kern w:val="0"/>
          <w:sz w:val="32"/>
          <w:szCs w:val="32"/>
        </w:rPr>
      </w:pPr>
    </w:p>
    <w:p>
      <w:pPr>
        <w:widowControl/>
        <w:spacing w:line="460" w:lineRule="atLeast"/>
        <w:jc w:val="both"/>
        <w:rPr>
          <w:rFonts w:hint="eastAsia" w:ascii="黑体" w:hAnsi="黑体" w:eastAsia="黑体"/>
          <w:color w:val="333333"/>
          <w:kern w:val="0"/>
          <w:sz w:val="32"/>
          <w:szCs w:val="32"/>
        </w:rPr>
      </w:pPr>
    </w:p>
    <w:p>
      <w:pPr>
        <w:widowControl/>
        <w:spacing w:line="460" w:lineRule="atLeast"/>
        <w:jc w:val="both"/>
        <w:rPr>
          <w:rFonts w:hint="eastAsia" w:ascii="黑体" w:hAnsi="黑体" w:eastAsia="黑体"/>
          <w:color w:val="333333"/>
          <w:kern w:val="0"/>
          <w:sz w:val="32"/>
          <w:szCs w:val="32"/>
        </w:rPr>
      </w:pPr>
    </w:p>
    <w:p>
      <w:pPr>
        <w:widowControl/>
        <w:spacing w:line="460" w:lineRule="atLeast"/>
        <w:jc w:val="center"/>
        <w:rPr>
          <w:rFonts w:hint="eastAsia" w:ascii="黑体" w:hAnsi="黑体" w:eastAsia="黑体" w:cs="黑体"/>
          <w:color w:val="333333"/>
          <w:kern w:val="0"/>
          <w:sz w:val="48"/>
          <w:szCs w:val="48"/>
        </w:rPr>
      </w:pPr>
      <w:r>
        <w:rPr>
          <w:rFonts w:hint="eastAsia" w:ascii="黑体" w:hAnsi="黑体" w:eastAsia="黑体" w:cs="黑体"/>
          <w:color w:val="333333"/>
          <w:kern w:val="0"/>
          <w:sz w:val="48"/>
          <w:szCs w:val="48"/>
        </w:rPr>
        <w:t>第二部分 </w:t>
      </w:r>
    </w:p>
    <w:p>
      <w:pPr>
        <w:widowControl/>
        <w:spacing w:line="460" w:lineRule="atLeast"/>
        <w:jc w:val="center"/>
        <w:rPr>
          <w:rFonts w:hint="eastAsia" w:ascii="黑体" w:hAnsi="黑体" w:eastAsia="黑体" w:cs="黑体"/>
          <w:color w:val="333333"/>
          <w:kern w:val="0"/>
          <w:sz w:val="22"/>
          <w:szCs w:val="22"/>
        </w:rPr>
      </w:pPr>
    </w:p>
    <w:p>
      <w:pPr>
        <w:widowControl/>
        <w:spacing w:line="460" w:lineRule="atLeast"/>
        <w:jc w:val="center"/>
        <w:rPr>
          <w:rFonts w:hint="eastAsia" w:ascii="黑体" w:hAnsi="黑体" w:eastAsia="黑体" w:cs="黑体"/>
          <w:color w:val="333333"/>
          <w:kern w:val="0"/>
          <w:sz w:val="48"/>
          <w:szCs w:val="48"/>
        </w:rPr>
      </w:pPr>
      <w:r>
        <w:rPr>
          <w:rFonts w:hint="eastAsia" w:ascii="黑体" w:hAnsi="黑体" w:eastAsia="黑体" w:cs="黑体"/>
          <w:color w:val="333333"/>
          <w:kern w:val="0"/>
          <w:sz w:val="48"/>
          <w:szCs w:val="48"/>
        </w:rPr>
        <w:t>孜列寺管理委员会20</w:t>
      </w:r>
      <w:r>
        <w:rPr>
          <w:rFonts w:hint="eastAsia" w:ascii="黑体" w:hAnsi="黑体" w:eastAsia="黑体" w:cs="黑体"/>
          <w:color w:val="333333"/>
          <w:kern w:val="0"/>
          <w:sz w:val="48"/>
          <w:szCs w:val="48"/>
          <w:lang w:val="en-US" w:eastAsia="zh-CN"/>
        </w:rPr>
        <w:t>21</w:t>
      </w:r>
      <w:r>
        <w:rPr>
          <w:rFonts w:hint="eastAsia" w:ascii="黑体" w:hAnsi="黑体" w:eastAsia="黑体" w:cs="黑体"/>
          <w:color w:val="333333"/>
          <w:kern w:val="0"/>
          <w:sz w:val="48"/>
          <w:szCs w:val="48"/>
        </w:rPr>
        <w:t>年度决算 </w:t>
      </w:r>
    </w:p>
    <w:p>
      <w:pPr>
        <w:widowControl/>
        <w:spacing w:line="460" w:lineRule="atLeast"/>
        <w:jc w:val="center"/>
        <w:rPr>
          <w:rFonts w:hint="eastAsia" w:ascii="黑体" w:hAnsi="黑体" w:eastAsia="黑体" w:cs="黑体"/>
          <w:color w:val="333333"/>
          <w:kern w:val="0"/>
          <w:sz w:val="48"/>
          <w:szCs w:val="48"/>
        </w:rPr>
      </w:pPr>
      <w:r>
        <w:rPr>
          <w:rFonts w:hint="eastAsia" w:ascii="黑体" w:hAnsi="黑体" w:eastAsia="黑体" w:cs="黑体"/>
          <w:color w:val="333333"/>
          <w:kern w:val="0"/>
          <w:sz w:val="48"/>
          <w:szCs w:val="48"/>
        </w:rPr>
        <w:t>明细表</w:t>
      </w:r>
    </w:p>
    <w:p>
      <w:pPr>
        <w:widowControl/>
        <w:spacing w:before="156" w:after="156"/>
        <w:jc w:val="center"/>
        <w:rPr>
          <w:rFonts w:hint="eastAsia" w:ascii="黑体" w:hAnsi="黑体" w:eastAsia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（见附表1－8）</w:t>
      </w:r>
    </w:p>
    <w:p>
      <w:pPr>
        <w:widowControl/>
        <w:spacing w:before="156" w:after="156"/>
        <w:jc w:val="center"/>
        <w:rPr>
          <w:rFonts w:hint="eastAsia" w:ascii="黑体" w:hAnsi="黑体" w:eastAsia="黑体"/>
          <w:color w:val="333333"/>
          <w:kern w:val="0"/>
          <w:sz w:val="32"/>
          <w:szCs w:val="32"/>
        </w:rPr>
      </w:pPr>
    </w:p>
    <w:p>
      <w:pPr>
        <w:widowControl/>
        <w:spacing w:before="156" w:after="156"/>
        <w:jc w:val="center"/>
        <w:rPr>
          <w:rFonts w:hint="eastAsia" w:ascii="黑体" w:hAnsi="黑体" w:eastAsia="黑体"/>
          <w:color w:val="333333"/>
          <w:kern w:val="0"/>
          <w:sz w:val="32"/>
          <w:szCs w:val="32"/>
        </w:rPr>
      </w:pPr>
    </w:p>
    <w:p>
      <w:pPr>
        <w:widowControl/>
        <w:spacing w:before="156" w:after="156"/>
        <w:jc w:val="center"/>
        <w:rPr>
          <w:rFonts w:hint="eastAsia" w:ascii="黑体" w:hAnsi="黑体" w:eastAsia="黑体"/>
          <w:color w:val="333333"/>
          <w:kern w:val="0"/>
          <w:sz w:val="32"/>
          <w:szCs w:val="32"/>
        </w:rPr>
      </w:pPr>
    </w:p>
    <w:p>
      <w:pPr>
        <w:widowControl/>
        <w:spacing w:before="156" w:after="156"/>
        <w:jc w:val="both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object>
          <v:shape id="_x0000_i1025" o:spt="75" type="#_x0000_t75" style="height:468.75pt;width:690.0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xcel.Sheet.8" ShapeID="_x0000_i1025" DrawAspect="Content" ObjectID="_1468075725" r:id="rId7">
            <o:LockedField>false</o:LockedField>
          </o:OLEObject>
        </w:object>
      </w:r>
    </w:p>
    <w:p>
      <w:pPr>
        <w:widowControl/>
        <w:spacing w:before="156" w:after="156"/>
        <w:jc w:val="both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object>
          <v:shape id="_x0000_i1026" o:spt="75" type="#_x0000_t75" style="height:1390.75pt;width:684.6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xcel.Sheet.8" ShapeID="_x0000_i1026" DrawAspect="Content" ObjectID="_1468075726" r:id="rId9">
            <o:LockedField>false</o:LockedField>
          </o:OLEObject>
        </w:object>
      </w:r>
      <w:r>
        <w:object>
          <v:shape id="_x0000_i1027" o:spt="75" type="#_x0000_t75" style="height:344.75pt;width:711.5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xcel.Sheet.8" ShapeID="_x0000_i1027" DrawAspect="Content" ObjectID="_1468075727" r:id="rId11">
            <o:LockedField>false</o:LockedField>
          </o:OLEObject>
        </w:object>
      </w:r>
    </w:p>
    <w:p>
      <w:pPr>
        <w:widowControl/>
        <w:spacing w:before="156" w:after="156"/>
        <w:jc w:val="center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object>
          <v:shape id="_x0000_i1028" o:spt="75" type="#_x0000_t75" style="height:462.55pt;width:703.65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xcel.Sheet.8" ShapeID="_x0000_i1028" DrawAspect="Content" ObjectID="_1468075728" r:id="rId13">
            <o:LockedField>false</o:LockedField>
          </o:OLEObject>
        </w:object>
      </w:r>
      <w:r>
        <w:object>
          <v:shape id="_x0000_i1029" o:spt="75" type="#_x0000_t75" style="height:382.35pt;width:609.6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xcel.Sheet.8" ShapeID="_x0000_i1029" DrawAspect="Content" ObjectID="_1468075729" r:id="rId15">
            <o:LockedField>false</o:LockedField>
          </o:OLEObject>
        </w:object>
      </w:r>
    </w:p>
    <w:p>
      <w:pPr>
        <w:widowControl/>
        <w:spacing w:before="156" w:after="156"/>
        <w:jc w:val="both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object>
          <v:shape id="_x0000_i1030" o:spt="75" type="#_x0000_t75" style="height:368.75pt;width:712.1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xcel.Sheet.8" ShapeID="_x0000_i1030" DrawAspect="Content" ObjectID="_1468075730" r:id="rId17">
            <o:LockedField>false</o:LockedField>
          </o:OLEObject>
        </w:object>
      </w:r>
      <w:r>
        <w:object>
          <v:shape id="_x0000_i1031" o:spt="75" type="#_x0000_t75" style="height:171.85pt;width:672.9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xcel.Sheet.8" ShapeID="_x0000_i1031" DrawAspect="Content" ObjectID="_1468075731" r:id="rId19">
            <o:LockedField>false</o:LockedField>
          </o:OLEObject>
        </w:object>
      </w:r>
    </w:p>
    <w:p>
      <w:pPr>
        <w:widowControl/>
        <w:spacing w:before="156" w:after="156"/>
        <w:jc w:val="both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黑体" w:hAnsi="黑体" w:eastAsia="黑体"/>
          <w:color w:val="333333"/>
          <w:kern w:val="0"/>
          <w:sz w:val="48"/>
          <w:szCs w:val="48"/>
        </w:rPr>
      </w:pPr>
    </w:p>
    <w:p>
      <w:pPr>
        <w:widowControl/>
        <w:jc w:val="center"/>
        <w:rPr>
          <w:rFonts w:hint="eastAsia" w:ascii="黑体" w:hAnsi="黑体" w:eastAsia="黑体"/>
          <w:color w:val="333333"/>
          <w:kern w:val="0"/>
          <w:sz w:val="48"/>
          <w:szCs w:val="48"/>
        </w:rPr>
      </w:pPr>
    </w:p>
    <w:p>
      <w:pPr>
        <w:widowControl/>
        <w:jc w:val="center"/>
        <w:rPr>
          <w:rFonts w:hint="eastAsia" w:ascii="黑体" w:hAnsi="黑体" w:eastAsia="黑体"/>
          <w:color w:val="333333"/>
          <w:kern w:val="0"/>
          <w:sz w:val="48"/>
          <w:szCs w:val="48"/>
        </w:rPr>
      </w:pPr>
    </w:p>
    <w:p>
      <w:pPr>
        <w:widowControl/>
        <w:jc w:val="center"/>
        <w:rPr>
          <w:rFonts w:hint="eastAsia" w:ascii="黑体" w:hAnsi="黑体" w:eastAsia="黑体"/>
          <w:color w:val="333333"/>
          <w:kern w:val="0"/>
          <w:sz w:val="48"/>
          <w:szCs w:val="48"/>
        </w:rPr>
      </w:pPr>
    </w:p>
    <w:p>
      <w:pPr>
        <w:widowControl/>
        <w:jc w:val="center"/>
        <w:rPr>
          <w:rFonts w:hint="eastAsia" w:ascii="黑体" w:hAnsi="黑体" w:eastAsia="黑体"/>
          <w:color w:val="333333"/>
          <w:kern w:val="0"/>
          <w:sz w:val="48"/>
          <w:szCs w:val="48"/>
        </w:rPr>
      </w:pPr>
      <w:r>
        <w:object>
          <v:shape id="_x0000_i1032" o:spt="75" type="#_x0000_t75" style="height:203.6pt;width:677.7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xcel.Sheet.8" ShapeID="_x0000_i1032" DrawAspect="Content" ObjectID="_1468075732" r:id="rId21">
            <o:LockedField>false</o:LockedField>
          </o:OLEObject>
        </w:object>
      </w:r>
    </w:p>
    <w:p>
      <w:pPr>
        <w:widowControl/>
        <w:jc w:val="center"/>
      </w:pPr>
    </w:p>
    <w:p>
      <w:pPr>
        <w:widowControl/>
        <w:jc w:val="center"/>
      </w:pPr>
    </w:p>
    <w:p>
      <w:pPr>
        <w:widowControl/>
        <w:jc w:val="center"/>
      </w:pPr>
    </w:p>
    <w:p>
      <w:pPr>
        <w:widowControl/>
        <w:jc w:val="center"/>
      </w:pPr>
    </w:p>
    <w:p>
      <w:pPr>
        <w:widowControl/>
        <w:jc w:val="center"/>
      </w:pPr>
    </w:p>
    <w:p>
      <w:pPr>
        <w:widowControl/>
        <w:jc w:val="center"/>
      </w:pPr>
    </w:p>
    <w:p>
      <w:pPr>
        <w:widowControl/>
        <w:jc w:val="center"/>
        <w:rPr>
          <w:rFonts w:hint="eastAsia"/>
        </w:rPr>
      </w:pPr>
    </w:p>
    <w:p>
      <w:pPr>
        <w:widowControl/>
        <w:jc w:val="center"/>
      </w:pPr>
    </w:p>
    <w:p>
      <w:pPr>
        <w:widowControl/>
        <w:jc w:val="center"/>
      </w:pPr>
    </w:p>
    <w:p>
      <w:pPr>
        <w:widowControl/>
        <w:jc w:val="both"/>
      </w:pPr>
    </w:p>
    <w:p>
      <w:pPr>
        <w:widowControl/>
        <w:jc w:val="center"/>
        <w:rPr>
          <w:rFonts w:hint="eastAsia"/>
          <w:sz w:val="40"/>
          <w:szCs w:val="48"/>
        </w:rPr>
      </w:pPr>
    </w:p>
    <w:p>
      <w:pPr>
        <w:widowControl/>
        <w:jc w:val="center"/>
        <w:rPr>
          <w:rFonts w:hint="eastAsia"/>
          <w:sz w:val="40"/>
          <w:szCs w:val="48"/>
        </w:rPr>
      </w:pPr>
    </w:p>
    <w:p>
      <w:pPr>
        <w:widowControl/>
        <w:jc w:val="center"/>
        <w:rPr>
          <w:rFonts w:hint="eastAsia" w:ascii="黑体" w:hAnsi="黑体" w:eastAsia="黑体"/>
          <w:color w:val="333333"/>
          <w:kern w:val="0"/>
          <w:sz w:val="48"/>
          <w:szCs w:val="48"/>
        </w:rPr>
      </w:pPr>
      <w:r>
        <w:rPr>
          <w:rFonts w:hint="eastAsia" w:ascii="黑体" w:hAnsi="黑体" w:eastAsia="黑体"/>
          <w:color w:val="333333"/>
          <w:kern w:val="0"/>
          <w:sz w:val="48"/>
          <w:szCs w:val="48"/>
        </w:rPr>
        <w:t>第三部分</w:t>
      </w:r>
    </w:p>
    <w:p>
      <w:pPr>
        <w:widowControl/>
        <w:jc w:val="center"/>
        <w:rPr>
          <w:rFonts w:hint="eastAsia" w:ascii="黑体" w:hAnsi="黑体" w:eastAsia="黑体"/>
          <w:color w:val="333333"/>
          <w:kern w:val="0"/>
          <w:sz w:val="21"/>
          <w:szCs w:val="21"/>
        </w:rPr>
      </w:pPr>
    </w:p>
    <w:p>
      <w:pPr>
        <w:widowControl/>
        <w:jc w:val="center"/>
        <w:rPr>
          <w:color w:val="333333"/>
          <w:kern w:val="0"/>
          <w:sz w:val="48"/>
          <w:szCs w:val="48"/>
        </w:rPr>
      </w:pPr>
      <w:r>
        <w:rPr>
          <w:rFonts w:hint="eastAsia" w:ascii="黑体" w:hAnsi="黑体" w:eastAsia="黑体"/>
          <w:color w:val="333333"/>
          <w:kern w:val="0"/>
          <w:sz w:val="48"/>
          <w:szCs w:val="48"/>
        </w:rPr>
        <w:t>朗县孜列寺管理委员会20</w:t>
      </w:r>
      <w:r>
        <w:rPr>
          <w:rFonts w:hint="eastAsia" w:ascii="黑体" w:hAnsi="黑体" w:eastAsia="黑体"/>
          <w:color w:val="333333"/>
          <w:kern w:val="0"/>
          <w:sz w:val="48"/>
          <w:szCs w:val="48"/>
          <w:lang w:val="en-US" w:eastAsia="zh-CN"/>
        </w:rPr>
        <w:t>21</w:t>
      </w:r>
      <w:r>
        <w:rPr>
          <w:rFonts w:hint="eastAsia" w:ascii="黑体" w:hAnsi="黑体" w:eastAsia="黑体"/>
          <w:color w:val="333333"/>
          <w:kern w:val="0"/>
          <w:sz w:val="48"/>
          <w:szCs w:val="48"/>
        </w:rPr>
        <w:t>年度</w:t>
      </w:r>
    </w:p>
    <w:p>
      <w:pPr>
        <w:widowControl/>
        <w:jc w:val="center"/>
        <w:rPr>
          <w:rFonts w:hint="eastAsia" w:ascii="黑体" w:hAnsi="黑体" w:eastAsia="黑体"/>
          <w:color w:val="333333"/>
          <w:kern w:val="0"/>
          <w:sz w:val="48"/>
          <w:szCs w:val="48"/>
        </w:rPr>
      </w:pPr>
      <w:r>
        <w:rPr>
          <w:rFonts w:hint="eastAsia" w:ascii="黑体" w:hAnsi="黑体" w:eastAsia="黑体"/>
          <w:color w:val="333333"/>
          <w:kern w:val="0"/>
          <w:sz w:val="48"/>
          <w:szCs w:val="48"/>
        </w:rPr>
        <w:t>决算情况说明</w:t>
      </w:r>
    </w:p>
    <w:p>
      <w:pPr>
        <w:widowControl/>
        <w:jc w:val="center"/>
        <w:rPr>
          <w:rFonts w:hint="eastAsia" w:ascii="黑体" w:hAnsi="黑体" w:eastAsia="黑体"/>
          <w:color w:val="333333"/>
          <w:kern w:val="0"/>
          <w:sz w:val="48"/>
          <w:szCs w:val="48"/>
        </w:rPr>
      </w:pPr>
    </w:p>
    <w:p>
      <w:pPr>
        <w:widowControl/>
        <w:jc w:val="center"/>
        <w:rPr>
          <w:rFonts w:hint="eastAsia" w:ascii="黑体" w:hAnsi="黑体" w:eastAsia="黑体"/>
          <w:color w:val="333333"/>
          <w:kern w:val="0"/>
          <w:sz w:val="48"/>
          <w:szCs w:val="48"/>
        </w:rPr>
      </w:pPr>
    </w:p>
    <w:p>
      <w:pPr>
        <w:widowControl/>
        <w:jc w:val="center"/>
        <w:rPr>
          <w:rFonts w:hint="eastAsia" w:ascii="黑体" w:hAnsi="黑体" w:eastAsia="黑体"/>
          <w:color w:val="333333"/>
          <w:kern w:val="0"/>
          <w:sz w:val="48"/>
          <w:szCs w:val="48"/>
        </w:rPr>
      </w:pPr>
    </w:p>
    <w:p>
      <w:pPr>
        <w:widowControl/>
        <w:jc w:val="center"/>
        <w:rPr>
          <w:rFonts w:hint="eastAsia" w:ascii="黑体" w:hAnsi="黑体" w:eastAsia="黑体"/>
          <w:color w:val="333333"/>
          <w:kern w:val="0"/>
          <w:sz w:val="48"/>
          <w:szCs w:val="48"/>
        </w:rPr>
      </w:pPr>
    </w:p>
    <w:p>
      <w:pPr>
        <w:widowControl/>
        <w:jc w:val="both"/>
        <w:rPr>
          <w:rFonts w:hint="eastAsia" w:ascii="黑体" w:hAnsi="黑体" w:eastAsia="黑体"/>
          <w:color w:val="333333"/>
          <w:kern w:val="0"/>
          <w:sz w:val="48"/>
          <w:szCs w:val="48"/>
        </w:rPr>
      </w:pPr>
    </w:p>
    <w:p>
      <w:pPr>
        <w:widowControl/>
        <w:ind w:firstLine="640"/>
        <w:rPr>
          <w:rFonts w:hint="eastAsia" w:ascii="黑体" w:hAnsi="黑体" w:eastAsia="黑体"/>
          <w:color w:val="333333"/>
          <w:kern w:val="0"/>
          <w:sz w:val="32"/>
          <w:szCs w:val="32"/>
        </w:rPr>
      </w:pPr>
    </w:p>
    <w:p>
      <w:pPr>
        <w:widowControl/>
        <w:ind w:firstLine="640"/>
        <w:rPr>
          <w:rFonts w:hint="eastAsia" w:ascii="黑体" w:hAnsi="黑体" w:eastAsia="黑体"/>
          <w:color w:val="333333"/>
          <w:kern w:val="0"/>
          <w:sz w:val="32"/>
          <w:szCs w:val="32"/>
        </w:rPr>
      </w:pPr>
    </w:p>
    <w:p>
      <w:pPr>
        <w:rPr>
          <w:rFonts w:hint="eastAsia" w:ascii="黑体" w:hAnsi="黑体" w:eastAsia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/>
          <w:color w:val="333333"/>
          <w:kern w:val="0"/>
          <w:sz w:val="32"/>
          <w:szCs w:val="32"/>
        </w:rPr>
        <w:br w:type="page"/>
      </w:r>
    </w:p>
    <w:p>
      <w:pPr>
        <w:widowControl/>
        <w:ind w:firstLine="640"/>
        <w:rPr>
          <w:color w:val="333333"/>
          <w:kern w:val="0"/>
          <w:szCs w:val="21"/>
        </w:rPr>
      </w:pP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一、20</w:t>
      </w:r>
      <w:r>
        <w:rPr>
          <w:rFonts w:hint="eastAsia" w:ascii="黑体" w:hAnsi="黑体" w:eastAsia="黑体"/>
          <w:color w:val="333333"/>
          <w:kern w:val="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年度一般公共预算收支总体情况说明</w:t>
      </w:r>
    </w:p>
    <w:p>
      <w:pPr>
        <w:spacing w:line="560" w:lineRule="atLeast"/>
        <w:ind w:firstLine="640" w:firstLineChars="200"/>
        <w:jc w:val="left"/>
        <w:rPr>
          <w:color w:val="333333"/>
          <w:kern w:val="0"/>
          <w:szCs w:val="21"/>
        </w:rPr>
      </w:pPr>
      <w:r>
        <w:rPr>
          <w:rFonts w:hint="eastAsia" w:ascii="方正仿宋简体" w:hAnsi="宋体" w:eastAsia="方正仿宋简体" w:cs="宋体"/>
          <w:sz w:val="32"/>
          <w:szCs w:val="32"/>
          <w:lang w:eastAsia="zh-CN"/>
        </w:rPr>
        <w:t>朗县孜列寺管理委员会20</w:t>
      </w:r>
      <w:r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  <w:t>21</w:t>
      </w:r>
      <w:r>
        <w:rPr>
          <w:rFonts w:hint="eastAsia" w:ascii="方正仿宋简体" w:hAnsi="宋体" w:eastAsia="方正仿宋简体" w:cs="宋体"/>
          <w:sz w:val="32"/>
          <w:szCs w:val="32"/>
          <w:lang w:eastAsia="zh-CN"/>
        </w:rPr>
        <w:t>年一般公共预算收入总计</w:t>
      </w:r>
      <w:r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  <w:t>173.57万元，</w:t>
      </w:r>
      <w:r>
        <w:rPr>
          <w:rFonts w:hint="eastAsia" w:ascii="方正仿宋简体" w:hAnsi="宋体" w:eastAsia="方正仿宋简体" w:cs="宋体"/>
          <w:sz w:val="32"/>
          <w:szCs w:val="32"/>
          <w:lang w:eastAsia="zh-CN"/>
        </w:rPr>
        <w:t>其中财政当年拨款</w:t>
      </w:r>
      <w:r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  <w:t>173.57</w:t>
      </w:r>
      <w:r>
        <w:rPr>
          <w:rFonts w:hint="eastAsia" w:ascii="方正仿宋简体" w:hAnsi="宋体" w:eastAsia="方正仿宋简体" w:cs="宋体"/>
          <w:sz w:val="32"/>
          <w:szCs w:val="32"/>
          <w:lang w:eastAsia="zh-CN"/>
        </w:rPr>
        <w:t>万元，年初结转和结余</w:t>
      </w:r>
      <w:r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  <w:t>3.72万元，</w:t>
      </w:r>
      <w:r>
        <w:rPr>
          <w:rFonts w:hint="eastAsia" w:ascii="方正仿宋简体" w:hAnsi="宋体" w:eastAsia="方正仿宋简体" w:cs="宋体"/>
          <w:sz w:val="32"/>
          <w:szCs w:val="32"/>
          <w:lang w:eastAsia="zh-CN"/>
        </w:rPr>
        <w:t>支出总计</w:t>
      </w:r>
      <w:r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  <w:t>173.57</w:t>
      </w:r>
      <w:r>
        <w:rPr>
          <w:rFonts w:hint="eastAsia" w:ascii="方正仿宋简体" w:hAnsi="宋体" w:eastAsia="方正仿宋简体" w:cs="宋体"/>
          <w:sz w:val="32"/>
          <w:szCs w:val="32"/>
          <w:lang w:eastAsia="zh-CN"/>
        </w:rPr>
        <w:t>万元，年末结转和结余</w:t>
      </w:r>
      <w:r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  <w:t>3.72万元，</w:t>
      </w:r>
      <w:r>
        <w:rPr>
          <w:rFonts w:hint="eastAsia" w:ascii="方正仿宋简体" w:hAnsi="宋体" w:eastAsia="方正仿宋简体" w:cs="宋体"/>
          <w:sz w:val="32"/>
          <w:szCs w:val="32"/>
          <w:lang w:eastAsia="zh-CN"/>
        </w:rPr>
        <w:t>与20</w:t>
      </w:r>
      <w:r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  <w:t>20</w:t>
      </w:r>
      <w:r>
        <w:rPr>
          <w:rFonts w:hint="eastAsia" w:ascii="方正仿宋简体" w:hAnsi="宋体" w:eastAsia="方正仿宋简体" w:cs="宋体"/>
          <w:sz w:val="32"/>
          <w:szCs w:val="32"/>
          <w:lang w:eastAsia="zh-CN"/>
        </w:rPr>
        <w:t>年相比，收入增加</w:t>
      </w:r>
      <w:r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  <w:t>41.3万元，提高23.79%，</w:t>
      </w:r>
      <w:r>
        <w:rPr>
          <w:rFonts w:hint="eastAsia" w:ascii="方正仿宋简体" w:hAnsi="宋体" w:eastAsia="方正仿宋简体" w:cs="宋体"/>
          <w:sz w:val="32"/>
          <w:szCs w:val="32"/>
          <w:lang w:eastAsia="zh-CN"/>
        </w:rPr>
        <w:t>支出增加</w:t>
      </w:r>
      <w:r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  <w:t>41.3</w:t>
      </w:r>
      <w:r>
        <w:rPr>
          <w:rFonts w:hint="eastAsia" w:ascii="方正仿宋简体" w:hAnsi="宋体" w:eastAsia="方正仿宋简体" w:cs="宋体"/>
          <w:sz w:val="32"/>
          <w:szCs w:val="32"/>
          <w:lang w:eastAsia="zh-CN"/>
        </w:rPr>
        <w:t>万元，</w:t>
      </w:r>
      <w:r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  <w:t>提高23.79%</w:t>
      </w:r>
      <w:r>
        <w:rPr>
          <w:rFonts w:hint="eastAsia" w:ascii="方正仿宋简体" w:hAnsi="宋体" w:eastAsia="方正仿宋简体" w:cs="宋体"/>
          <w:sz w:val="32"/>
          <w:szCs w:val="32"/>
          <w:lang w:eastAsia="zh-CN"/>
        </w:rPr>
        <w:t>。主要原因：主要是人员变化基本工资变化。</w:t>
      </w:r>
    </w:p>
    <w:p>
      <w:pPr>
        <w:widowControl/>
        <w:ind w:firstLine="627"/>
        <w:rPr>
          <w:color w:val="333333"/>
          <w:kern w:val="0"/>
          <w:szCs w:val="21"/>
        </w:rPr>
      </w:pP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二、20</w:t>
      </w:r>
      <w:r>
        <w:rPr>
          <w:rFonts w:hint="eastAsia" w:ascii="黑体" w:hAnsi="黑体" w:eastAsia="黑体"/>
          <w:color w:val="333333"/>
          <w:kern w:val="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年度一般公共预算收入情况说明</w:t>
      </w:r>
    </w:p>
    <w:p>
      <w:pPr>
        <w:widowControl/>
        <w:ind w:firstLine="640"/>
        <w:rPr>
          <w:color w:val="333333"/>
          <w:kern w:val="0"/>
          <w:szCs w:val="21"/>
        </w:rPr>
      </w:pPr>
      <w:r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  <w:t>朗县孜列寺管理委员会2021年财政拨款收入173.57万元，全部为财政拨款。</w:t>
      </w:r>
    </w:p>
    <w:p>
      <w:pPr>
        <w:widowControl/>
        <w:ind w:firstLine="640"/>
        <w:rPr>
          <w:color w:val="333333"/>
          <w:kern w:val="0"/>
          <w:szCs w:val="21"/>
        </w:rPr>
      </w:pP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三、20</w:t>
      </w:r>
      <w:r>
        <w:rPr>
          <w:rFonts w:hint="eastAsia" w:ascii="黑体" w:hAnsi="黑体" w:eastAsia="黑体"/>
          <w:color w:val="333333"/>
          <w:kern w:val="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年度一般公共预算支出情况说明</w:t>
      </w:r>
    </w:p>
    <w:p>
      <w:pPr>
        <w:widowControl/>
        <w:ind w:firstLine="640"/>
        <w:rPr>
          <w:rFonts w:hint="eastAsia" w:ascii="仿宋" w:hAnsi="仿宋" w:eastAsia="仿宋"/>
          <w:color w:val="333333"/>
          <w:kern w:val="0"/>
          <w:sz w:val="32"/>
          <w:szCs w:val="32"/>
          <w:lang w:eastAsia="zh-CN"/>
        </w:rPr>
      </w:pPr>
      <w:r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  <w:t>朗县孜列寺管理委员会2021年支出173.57万元，用于基本支出为173.57万元，占100%。其中：人员经费为156.25万元，占90.02%，日常公用经费为17.32万元，占9.98%。</w:t>
      </w:r>
    </w:p>
    <w:p>
      <w:pPr>
        <w:widowControl/>
        <w:ind w:firstLine="640"/>
        <w:rPr>
          <w:color w:val="333333"/>
          <w:kern w:val="0"/>
          <w:szCs w:val="21"/>
        </w:rPr>
      </w:pP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四、20</w:t>
      </w:r>
      <w:r>
        <w:rPr>
          <w:rFonts w:hint="eastAsia" w:ascii="黑体" w:hAnsi="黑体" w:eastAsia="黑体"/>
          <w:color w:val="333333"/>
          <w:kern w:val="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年度一般公共预算财政拨款支出情况说明</w:t>
      </w:r>
    </w:p>
    <w:p>
      <w:pPr>
        <w:widowControl/>
        <w:ind w:firstLine="640"/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</w:pPr>
      <w:r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  <w:t>（一）财政拨款支出决算总体情况：朗县孜列寺管理委员会2021年支出173.57万元。</w:t>
      </w:r>
    </w:p>
    <w:p>
      <w:pPr>
        <w:widowControl/>
        <w:ind w:firstLine="640"/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</w:pPr>
      <w:r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  <w:t>（二）财政拨款支出决算结构情况：朗县孜列寺管理委员会2021年支出173.57万元，支出包括一般公共服务141.31万元，占81.41%；社会保障和就业支出12.78万元，占7.36%；卫生健康支出9.23万元，占5.32%，住房保障支出10.25万元，占5.91%。</w:t>
      </w:r>
    </w:p>
    <w:p>
      <w:pPr>
        <w:widowControl/>
        <w:ind w:firstLine="640"/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</w:pPr>
      <w:r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  <w:t>（三）财政拨款支出决算具体情况</w:t>
      </w:r>
    </w:p>
    <w:p>
      <w:pPr>
        <w:spacing w:line="560" w:lineRule="atLeast"/>
        <w:ind w:firstLine="640" w:firstLineChars="200"/>
        <w:jc w:val="left"/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</w:pPr>
      <w:r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  <w:t>1.一般公共服务支出（类）民族事务（款）行政运行（项）123.99万元。</w:t>
      </w:r>
    </w:p>
    <w:p>
      <w:pPr>
        <w:spacing w:line="560" w:lineRule="atLeast"/>
        <w:ind w:firstLine="640" w:firstLineChars="200"/>
        <w:jc w:val="left"/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</w:pPr>
      <w:r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  <w:t>2.一般公共服务支出（类）民族事务（款）一般行政管理事务（项）1.5万元。</w:t>
      </w:r>
    </w:p>
    <w:p>
      <w:pPr>
        <w:spacing w:line="560" w:lineRule="atLeast"/>
        <w:ind w:firstLine="640" w:firstLineChars="200"/>
        <w:jc w:val="left"/>
        <w:rPr>
          <w:rFonts w:hint="eastAsia" w:ascii="方正仿宋简体" w:hAnsi="仿宋_GB2312" w:eastAsia="方正仿宋简体" w:cs="仿宋_GB2312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仿宋_GB2312" w:eastAsia="方正仿宋简体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</w:rPr>
        <w:t>社会保障和就业支出（类）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  <w:lang w:eastAsia="zh-CN"/>
        </w:rPr>
        <w:t>行政事业单位养老支出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</w:rPr>
        <w:t>（款）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  <w:lang w:eastAsia="zh-CN"/>
        </w:rPr>
        <w:t>机关事业单位基本养老保险缴费支出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</w:rPr>
        <w:t>（项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  <w:lang w:val="en-US" w:eastAsia="zh-CN"/>
        </w:rPr>
        <w:t>12.62万元。</w:t>
      </w:r>
    </w:p>
    <w:p>
      <w:pPr>
        <w:ind w:firstLine="640" w:firstLineChars="200"/>
        <w:rPr>
          <w:rFonts w:hint="eastAsia" w:ascii="方正仿宋简体" w:hAnsi="仿宋_GB2312" w:eastAsia="方正仿宋简体" w:cs="仿宋_GB2312"/>
          <w:kern w:val="0"/>
          <w:sz w:val="32"/>
          <w:szCs w:val="32"/>
          <w:lang w:eastAsia="zh-CN"/>
        </w:rPr>
      </w:pPr>
      <w:r>
        <w:rPr>
          <w:rFonts w:hint="eastAsia" w:ascii="方正仿宋简体" w:hAnsi="仿宋_GB2312" w:eastAsia="方正仿宋简体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</w:rPr>
        <w:t>社会保障和就业支出（类）财政对其他社会保险基金的补助（款）财政对工伤保险基金的补助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  <w:lang w:val="en-US" w:eastAsia="zh-CN"/>
        </w:rPr>
        <w:t>0.16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</w:rPr>
        <w:t>万元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方正仿宋简体" w:hAnsi="仿宋_GB2312" w:eastAsia="方正仿宋简体" w:cs="仿宋_GB2312"/>
          <w:kern w:val="0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</w:rPr>
        <w:t>卫生健康支出（类）行政事业单位医疗（款）公务员医疗补助（项）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  <w:lang w:val="en-US" w:eastAsia="zh-CN"/>
        </w:rPr>
        <w:t>2.37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</w:rPr>
        <w:t>万元。</w:t>
      </w:r>
    </w:p>
    <w:p>
      <w:pPr>
        <w:ind w:firstLine="640" w:firstLineChars="200"/>
        <w:rPr>
          <w:rFonts w:hint="eastAsia" w:ascii="方正仿宋简体" w:hAnsi="仿宋_GB2312" w:eastAsia="方正仿宋简体" w:cs="仿宋_GB2312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仿宋_GB2312" w:eastAsia="方正仿宋简体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</w:rPr>
        <w:t>卫生健康支出（类）财政对基本医疗保险基金的补助（款）财政对职工基本医疗保险基金的补助（项）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  <w:lang w:val="en-US" w:eastAsia="zh-CN"/>
        </w:rPr>
        <w:t>6.86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</w:rPr>
        <w:t>万元。</w:t>
      </w:r>
    </w:p>
    <w:p>
      <w:pPr>
        <w:spacing w:line="560" w:lineRule="atLeast"/>
        <w:ind w:firstLine="640" w:firstLineChars="200"/>
        <w:jc w:val="left"/>
        <w:rPr>
          <w:rFonts w:hint="eastAsia" w:ascii="黑体" w:hAnsi="黑体" w:eastAsia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kern w:val="0"/>
          <w:sz w:val="32"/>
          <w:szCs w:val="32"/>
          <w:lang w:val="en-US" w:eastAsia="zh-CN"/>
        </w:rPr>
        <w:t>7.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</w:rPr>
        <w:t>住房保障支出（类）住房改革支出（款）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  <w:lang w:eastAsia="zh-CN"/>
        </w:rPr>
        <w:t>住房公积金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</w:rPr>
        <w:t>（项）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  <w:lang w:val="en-US" w:eastAsia="zh-CN"/>
        </w:rPr>
        <w:t>10.25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</w:rPr>
        <w:t>万元。</w:t>
      </w:r>
    </w:p>
    <w:p>
      <w:pPr>
        <w:rPr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333333"/>
          <w:kern w:val="0"/>
          <w:sz w:val="32"/>
          <w:szCs w:val="32"/>
        </w:rPr>
        <w:t>五、20</w:t>
      </w:r>
      <w:r>
        <w:rPr>
          <w:rFonts w:hint="eastAsia" w:ascii="黑体" w:hAnsi="黑体" w:eastAsia="黑体"/>
          <w:b/>
          <w:bCs/>
          <w:color w:val="333333"/>
          <w:kern w:val="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/>
          <w:b/>
          <w:bCs/>
          <w:color w:val="333333"/>
          <w:kern w:val="0"/>
          <w:sz w:val="32"/>
          <w:szCs w:val="32"/>
        </w:rPr>
        <w:t>年度“三公”经费预决算情况说明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36"/>
          <w:szCs w:val="36"/>
        </w:rPr>
        <w:t>朗县孜列寺管理委员会20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36"/>
          <w:szCs w:val="36"/>
        </w:rPr>
        <w:t>年“三公”经费情况表</w:t>
      </w:r>
    </w:p>
    <w:p>
      <w:pPr>
        <w:widowControl/>
        <w:spacing w:before="312" w:after="312"/>
        <w:jc w:val="center"/>
        <w:rPr>
          <w:color w:val="333333"/>
          <w:kern w:val="0"/>
          <w:sz w:val="28"/>
          <w:szCs w:val="28"/>
        </w:rPr>
      </w:pPr>
      <w:r>
        <w:rPr>
          <w:rFonts w:hint="eastAsia" w:ascii="宋体" w:hAnsi="宋体"/>
          <w:color w:val="333333"/>
          <w:kern w:val="0"/>
          <w:sz w:val="28"/>
          <w:szCs w:val="28"/>
        </w:rPr>
        <w:t>                                            </w:t>
      </w:r>
      <w:r>
        <w:rPr>
          <w:rFonts w:hint="eastAsia" w:ascii="宋体" w:hAnsi="宋体"/>
          <w:color w:val="333333"/>
          <w:kern w:val="0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宋体" w:hAnsi="宋体"/>
          <w:color w:val="333333"/>
          <w:kern w:val="0"/>
          <w:sz w:val="28"/>
          <w:szCs w:val="28"/>
        </w:rPr>
        <w:t>  单位：万元</w:t>
      </w:r>
    </w:p>
    <w:tbl>
      <w:tblPr>
        <w:tblStyle w:val="8"/>
        <w:tblW w:w="1037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15"/>
        <w:gridCol w:w="1995"/>
        <w:gridCol w:w="2026"/>
        <w:gridCol w:w="18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项目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预算数</w:t>
            </w:r>
          </w:p>
        </w:tc>
        <w:tc>
          <w:tcPr>
            <w:tcW w:w="20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决算数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合计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  <w:lang w:val="en-US" w:eastAsia="zh-CN"/>
              </w:rPr>
              <w:t>3.54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1.因公出国（境）费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2.公务接待费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  <w:lang w:val="en-US" w:eastAsia="zh-CN"/>
              </w:rPr>
              <w:t>2.4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3.公务用车经费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8"/>
                <w:szCs w:val="28"/>
                <w:lang w:val="en-US" w:eastAsia="zh-CN"/>
              </w:rPr>
              <w:t>3.6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  <w:lang w:val="en-US" w:eastAsia="zh-CN"/>
              </w:rPr>
              <w:t>3.54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其中：（1）公务用车运行维护费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eastAsia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kern w:val="0"/>
                <w:sz w:val="28"/>
                <w:szCs w:val="28"/>
                <w:lang w:val="en-US" w:eastAsia="zh-CN"/>
              </w:rPr>
              <w:t>3.6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  <w:lang w:val="en-US" w:eastAsia="zh-CN"/>
              </w:rPr>
              <w:t>3.54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      （2）公务用车购置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szCs w:val="28"/>
              </w:rPr>
              <w:t>　</w:t>
            </w:r>
          </w:p>
        </w:tc>
      </w:tr>
    </w:tbl>
    <w:p>
      <w:pPr>
        <w:ind w:firstLine="640" w:firstLineChars="200"/>
        <w:rPr>
          <w:rFonts w:hint="eastAsia" w:ascii="方正仿宋简体" w:hAnsi="仿宋_GB2312" w:eastAsia="方正仿宋简体" w:cs="仿宋_GB2312"/>
          <w:kern w:val="0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kern w:val="0"/>
          <w:sz w:val="32"/>
          <w:szCs w:val="32"/>
        </w:rPr>
        <w:t>20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</w:rPr>
        <w:t>年度一般公共预算财政拨款“三公”经费支出决算数为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  <w:lang w:val="en-US" w:eastAsia="zh-CN"/>
        </w:rPr>
        <w:t>3.54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</w:rPr>
        <w:t>万元，比本年度预算数（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</w:rPr>
        <w:t>万元）减少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  <w:lang w:val="en-US" w:eastAsia="zh-CN"/>
        </w:rPr>
        <w:t>2.46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</w:rPr>
        <w:t>万元，同比减少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  <w:lang w:val="en-US" w:eastAsia="zh-CN"/>
        </w:rPr>
        <w:t>41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</w:rPr>
        <w:t>%，减少的主要原因为严格贯彻落实中央八项规定精神，进一步压减公务接待费支出，减少公务用车费用；</w:t>
      </w:r>
    </w:p>
    <w:p>
      <w:pPr>
        <w:ind w:firstLine="640" w:firstLineChars="200"/>
        <w:rPr>
          <w:rFonts w:hint="eastAsia" w:ascii="方正仿宋简体" w:hAnsi="仿宋_GB2312" w:eastAsia="方正仿宋简体" w:cs="仿宋_GB2312"/>
          <w:kern w:val="0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kern w:val="0"/>
          <w:sz w:val="32"/>
          <w:szCs w:val="32"/>
        </w:rPr>
        <w:t>公务接待费方面：本年度共计支出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</w:rPr>
        <w:t>万元，比本年度预算数（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  <w:lang w:val="en-US" w:eastAsia="zh-CN"/>
        </w:rPr>
        <w:t>2.4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</w:rPr>
        <w:t>万元）减少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  <w:lang w:val="en-US" w:eastAsia="zh-CN"/>
        </w:rPr>
        <w:t>2.4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</w:rPr>
        <w:t>万元，同比减少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  <w:lang w:val="en-US" w:eastAsia="zh-CN"/>
        </w:rPr>
        <w:t>100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</w:rPr>
        <w:t>%，规范公务接待行为，减少开支；</w:t>
      </w:r>
    </w:p>
    <w:p>
      <w:pPr>
        <w:ind w:firstLine="640" w:firstLineChars="200"/>
        <w:rPr>
          <w:rFonts w:hint="eastAsia" w:ascii="方正仿宋简体" w:hAnsi="仿宋_GB2312" w:eastAsia="方正仿宋简体" w:cs="仿宋_GB2312"/>
          <w:kern w:val="0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kern w:val="0"/>
          <w:sz w:val="32"/>
          <w:szCs w:val="32"/>
        </w:rPr>
        <w:t>公务用车经费方面：本年度共计支出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  <w:lang w:val="en-US" w:eastAsia="zh-CN"/>
        </w:rPr>
        <w:t>3.54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</w:rPr>
        <w:t>万元（包含燃油费、车辆保险、修理费等），比本年度预算数（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  <w:lang w:val="en-US" w:eastAsia="zh-CN"/>
        </w:rPr>
        <w:t>3.6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</w:rPr>
        <w:t>万元）减少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  <w:lang w:val="en-US" w:eastAsia="zh-CN"/>
        </w:rPr>
        <w:t>0.06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</w:rPr>
        <w:t>万元，同比减少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  <w:lang w:val="en-US" w:eastAsia="zh-CN"/>
        </w:rPr>
        <w:t>1.6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</w:rPr>
        <w:t>%，无违规购车行为，定点维修，倡导驾驶员自己动手进行日常保养，减少车辆维修次数，严禁公车私用。</w:t>
      </w:r>
    </w:p>
    <w:p>
      <w:pPr>
        <w:ind w:firstLine="640" w:firstLineChars="200"/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kern w:val="0"/>
          <w:sz w:val="32"/>
          <w:szCs w:val="32"/>
        </w:rPr>
        <w:t>因公出国（境）费方面：本年度无出国（境）学习考察情况，未产生费用。</w:t>
      </w:r>
    </w:p>
    <w:p>
      <w:pPr>
        <w:widowControl/>
        <w:ind w:firstLine="627"/>
        <w:rPr>
          <w:color w:val="333333"/>
          <w:kern w:val="0"/>
          <w:szCs w:val="21"/>
        </w:rPr>
      </w:pP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六、20</w:t>
      </w:r>
      <w:r>
        <w:rPr>
          <w:rFonts w:hint="eastAsia" w:ascii="黑体" w:hAnsi="黑体" w:eastAsia="黑体"/>
          <w:color w:val="333333"/>
          <w:kern w:val="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年度机关运行情况说明</w:t>
      </w:r>
    </w:p>
    <w:p>
      <w:pPr>
        <w:spacing w:line="560" w:lineRule="atLeast"/>
        <w:ind w:firstLine="640" w:firstLineChars="200"/>
        <w:jc w:val="left"/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  <w:t>（一）20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  <w:t>年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  <w:lang w:eastAsia="zh-CN"/>
        </w:rPr>
        <w:t>孜列寺管委会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  <w:t>履行一般行政事业管理职能、维持机关运行，用一般公共预算安排的行政经费，合计</w:t>
      </w:r>
      <w:r>
        <w:rPr>
          <w:rFonts w:hint="eastAsia" w:ascii="方正仿宋简体" w:hAnsi="宋体" w:eastAsia="方正仿宋简体" w:cs="宋体"/>
          <w:sz w:val="32"/>
          <w:szCs w:val="32"/>
          <w:lang w:val="en-US" w:eastAsia="zh-CN"/>
        </w:rPr>
        <w:t>17.32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  <w:t>万元。</w:t>
      </w:r>
    </w:p>
    <w:p>
      <w:pPr>
        <w:spacing w:line="560" w:lineRule="atLeast"/>
        <w:ind w:firstLine="640" w:firstLineChars="200"/>
        <w:jc w:val="left"/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  <w:t>（二）机关运行经费预算的内容</w:t>
      </w:r>
    </w:p>
    <w:p>
      <w:pPr>
        <w:spacing w:line="560" w:lineRule="atLeast"/>
        <w:ind w:firstLine="640" w:firstLineChars="200"/>
        <w:jc w:val="left"/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  <w:t>行政经费由基本支出和一般行政支出两部分组成：</w:t>
      </w:r>
    </w:p>
    <w:p>
      <w:pPr>
        <w:spacing w:line="560" w:lineRule="atLeast"/>
        <w:ind w:firstLine="640" w:firstLineChars="200"/>
        <w:jc w:val="left"/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  <w:t>、基本支出，包括两部分：一部分是人员经费，具体包括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  <w:lang w:eastAsia="zh-CN"/>
        </w:rPr>
        <w:t>基本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  <w:t>工资、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  <w:lang w:eastAsia="zh-CN"/>
        </w:rPr>
        <w:t>机关事业单位基本养老保险缴费、职工基本医疗保险缴费、公务员医疗补助缴费、其他社会保障缴费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  <w:t>等；二是公用经费，具体包括办公费、电费、差旅费、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  <w:lang w:eastAsia="zh-CN"/>
        </w:rPr>
        <w:t>培训费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  <w:t>、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  <w:lang w:eastAsia="zh-CN"/>
        </w:rPr>
        <w:t>公务用车维护费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  <w:t>等。</w:t>
      </w:r>
    </w:p>
    <w:p>
      <w:pPr>
        <w:spacing w:line="560" w:lineRule="atLeast"/>
        <w:ind w:firstLine="640" w:firstLineChars="200"/>
        <w:jc w:val="left"/>
        <w:rPr>
          <w:color w:val="333333"/>
          <w:kern w:val="0"/>
          <w:szCs w:val="21"/>
        </w:rPr>
      </w:pP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  <w:t>、一般行政管理项目支出，包括招待费、会议费、购置费（包括设备、计算机等）、专用材料费、干部培训费、信息网络运行维护费等用于一般行政管理事务方面的项目支出。</w:t>
      </w:r>
    </w:p>
    <w:p>
      <w:pPr>
        <w:widowControl/>
        <w:ind w:firstLine="627"/>
        <w:rPr>
          <w:color w:val="333333"/>
          <w:kern w:val="0"/>
          <w:szCs w:val="21"/>
        </w:rPr>
      </w:pP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七、政府采购情况说明</w:t>
      </w:r>
    </w:p>
    <w:p>
      <w:pPr>
        <w:widowControl/>
        <w:jc w:val="left"/>
        <w:rPr>
          <w:color w:val="333333"/>
          <w:kern w:val="0"/>
          <w:szCs w:val="21"/>
        </w:rPr>
      </w:pP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  <w:t>20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  <w:t>年孜列寺管理委员会无政府采购</w:t>
      </w: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。</w:t>
      </w:r>
    </w:p>
    <w:p>
      <w:pPr>
        <w:widowControl/>
        <w:ind w:firstLine="627"/>
        <w:rPr>
          <w:color w:val="333333"/>
          <w:kern w:val="0"/>
          <w:szCs w:val="21"/>
        </w:rPr>
      </w:pP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八、国有资产占有使用情况</w:t>
      </w:r>
    </w:p>
    <w:p>
      <w:pPr>
        <w:widowControl/>
        <w:jc w:val="left"/>
        <w:rPr>
          <w:color w:val="333333"/>
          <w:kern w:val="0"/>
          <w:szCs w:val="21"/>
        </w:rPr>
      </w:pP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  <w:t>截至20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  <w:t>年12月31日，孜列寺管理委员会有一般公共车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  <w:t>辆，无大型设备。</w:t>
      </w:r>
    </w:p>
    <w:p>
      <w:pPr>
        <w:widowControl/>
        <w:numPr>
          <w:ilvl w:val="0"/>
          <w:numId w:val="1"/>
        </w:numPr>
        <w:ind w:firstLine="627"/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重点、重大项目评价结果等预算绩效情况说明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  <w:lang w:val="en-US" w:eastAsia="zh-CN"/>
        </w:rPr>
        <w:t>1.2021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  <w:t>年孜列寺管理委员会没有重点、重大项目信息。</w:t>
      </w:r>
    </w:p>
    <w:p>
      <w:pPr>
        <w:widowControl/>
        <w:jc w:val="left"/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  <w:t>2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  <w:t>20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  <w:t>年孜列寺管理委员会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  <w:lang w:eastAsia="zh-CN"/>
        </w:rPr>
        <w:t>正在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  <w:t>开展绩效评价工作。</w:t>
      </w:r>
      <w:r>
        <w:rPr>
          <w:rFonts w:hint="eastAsia" w:ascii="方正仿宋简体" w:hAnsi="仿宋" w:eastAsia="方正仿宋简体" w:cs="仿宋"/>
          <w:sz w:val="32"/>
          <w:szCs w:val="32"/>
        </w:rPr>
        <w:t>　</w:t>
      </w:r>
    </w:p>
    <w:p>
      <w:pPr>
        <w:widowControl/>
        <w:spacing w:line="460" w:lineRule="atLeast"/>
        <w:ind w:firstLine="1920"/>
        <w:rPr>
          <w:rFonts w:hint="eastAsia" w:ascii="黑体" w:hAnsi="黑体" w:eastAsia="黑体"/>
          <w:color w:val="333333"/>
          <w:kern w:val="0"/>
          <w:sz w:val="48"/>
          <w:szCs w:val="48"/>
        </w:rPr>
      </w:pPr>
    </w:p>
    <w:p>
      <w:pPr>
        <w:widowControl/>
        <w:spacing w:line="460" w:lineRule="atLeast"/>
        <w:ind w:firstLine="1920"/>
        <w:rPr>
          <w:rFonts w:hint="eastAsia" w:ascii="黑体" w:hAnsi="黑体" w:eastAsia="黑体"/>
          <w:color w:val="333333"/>
          <w:kern w:val="0"/>
          <w:sz w:val="48"/>
          <w:szCs w:val="48"/>
        </w:rPr>
      </w:pPr>
    </w:p>
    <w:p>
      <w:pPr>
        <w:widowControl/>
        <w:spacing w:line="460" w:lineRule="atLeast"/>
        <w:ind w:firstLine="1920"/>
        <w:rPr>
          <w:rFonts w:hint="eastAsia" w:ascii="黑体" w:hAnsi="黑体" w:eastAsia="黑体"/>
          <w:color w:val="333333"/>
          <w:kern w:val="0"/>
          <w:sz w:val="48"/>
          <w:szCs w:val="48"/>
        </w:rPr>
      </w:pPr>
    </w:p>
    <w:p>
      <w:pPr>
        <w:widowControl/>
        <w:spacing w:line="460" w:lineRule="atLeast"/>
        <w:rPr>
          <w:rFonts w:hint="eastAsia" w:ascii="黑体" w:hAnsi="黑体" w:eastAsia="黑体"/>
          <w:color w:val="333333"/>
          <w:kern w:val="0"/>
          <w:sz w:val="48"/>
          <w:szCs w:val="48"/>
        </w:rPr>
      </w:pPr>
    </w:p>
    <w:p>
      <w:pPr>
        <w:widowControl/>
        <w:spacing w:line="460" w:lineRule="atLeast"/>
        <w:ind w:firstLine="1920"/>
        <w:rPr>
          <w:rFonts w:hint="eastAsia" w:ascii="黑体" w:hAnsi="黑体" w:eastAsia="黑体"/>
          <w:color w:val="333333"/>
          <w:kern w:val="0"/>
          <w:sz w:val="48"/>
          <w:szCs w:val="48"/>
        </w:rPr>
      </w:pPr>
    </w:p>
    <w:p>
      <w:pPr>
        <w:widowControl/>
        <w:spacing w:line="460" w:lineRule="atLeast"/>
        <w:ind w:firstLine="1920"/>
        <w:rPr>
          <w:rFonts w:hint="eastAsia" w:ascii="黑体" w:hAnsi="黑体" w:eastAsia="黑体"/>
          <w:color w:val="333333"/>
          <w:kern w:val="0"/>
          <w:sz w:val="48"/>
          <w:szCs w:val="48"/>
        </w:rPr>
      </w:pPr>
    </w:p>
    <w:p>
      <w:pPr>
        <w:widowControl/>
        <w:spacing w:line="460" w:lineRule="atLeast"/>
        <w:ind w:firstLine="1920"/>
        <w:rPr>
          <w:rFonts w:hint="eastAsia" w:ascii="黑体" w:hAnsi="黑体" w:eastAsia="黑体"/>
          <w:color w:val="333333"/>
          <w:kern w:val="0"/>
          <w:sz w:val="48"/>
          <w:szCs w:val="48"/>
        </w:rPr>
      </w:pPr>
    </w:p>
    <w:p>
      <w:pPr>
        <w:widowControl/>
        <w:spacing w:line="460" w:lineRule="atLeast"/>
        <w:jc w:val="center"/>
        <w:rPr>
          <w:rFonts w:hint="eastAsia" w:ascii="黑体" w:hAnsi="黑体" w:eastAsia="黑体"/>
          <w:color w:val="333333"/>
          <w:kern w:val="0"/>
          <w:sz w:val="48"/>
          <w:szCs w:val="48"/>
        </w:rPr>
      </w:pPr>
      <w:bookmarkStart w:id="0" w:name="_GoBack"/>
      <w:bookmarkEnd w:id="0"/>
      <w:r>
        <w:rPr>
          <w:rFonts w:hint="eastAsia" w:ascii="黑体" w:hAnsi="黑体" w:eastAsia="黑体"/>
          <w:color w:val="333333"/>
          <w:kern w:val="0"/>
          <w:sz w:val="48"/>
          <w:szCs w:val="48"/>
        </w:rPr>
        <w:t>第四部分 名词解释</w:t>
      </w:r>
    </w:p>
    <w:p>
      <w:pPr>
        <w:widowControl/>
        <w:spacing w:line="460" w:lineRule="atLeast"/>
        <w:ind w:firstLine="1920"/>
        <w:jc w:val="center"/>
        <w:rPr>
          <w:rFonts w:hint="eastAsia" w:ascii="黑体" w:hAnsi="黑体" w:eastAsia="黑体"/>
          <w:color w:val="333333"/>
          <w:kern w:val="0"/>
          <w:sz w:val="48"/>
          <w:szCs w:val="48"/>
        </w:rPr>
      </w:pPr>
    </w:p>
    <w:p>
      <w:pPr>
        <w:widowControl/>
        <w:spacing w:line="460" w:lineRule="atLeast"/>
        <w:ind w:firstLine="1920"/>
        <w:jc w:val="center"/>
        <w:rPr>
          <w:rFonts w:hint="eastAsia" w:ascii="黑体" w:hAnsi="黑体" w:eastAsia="黑体"/>
          <w:color w:val="333333"/>
          <w:kern w:val="0"/>
          <w:sz w:val="48"/>
          <w:szCs w:val="48"/>
        </w:rPr>
      </w:pPr>
    </w:p>
    <w:p>
      <w:pPr>
        <w:widowControl/>
        <w:spacing w:line="460" w:lineRule="atLeast"/>
        <w:ind w:firstLine="1920"/>
        <w:jc w:val="center"/>
        <w:rPr>
          <w:rFonts w:hint="eastAsia" w:ascii="黑体" w:hAnsi="黑体" w:eastAsia="黑体"/>
          <w:color w:val="333333"/>
          <w:kern w:val="0"/>
          <w:sz w:val="48"/>
          <w:szCs w:val="48"/>
        </w:rPr>
      </w:pPr>
    </w:p>
    <w:p>
      <w:pPr>
        <w:widowControl/>
        <w:spacing w:line="460" w:lineRule="atLeast"/>
        <w:ind w:firstLine="1920"/>
        <w:jc w:val="center"/>
        <w:rPr>
          <w:rFonts w:hint="eastAsia" w:ascii="黑体" w:hAnsi="黑体" w:eastAsia="黑体"/>
          <w:color w:val="333333"/>
          <w:kern w:val="0"/>
          <w:sz w:val="48"/>
          <w:szCs w:val="48"/>
        </w:rPr>
      </w:pPr>
    </w:p>
    <w:p>
      <w:pPr>
        <w:widowControl/>
        <w:spacing w:line="460" w:lineRule="atLeast"/>
        <w:ind w:firstLine="1920"/>
        <w:jc w:val="center"/>
        <w:rPr>
          <w:rFonts w:hint="eastAsia" w:ascii="黑体" w:hAnsi="黑体" w:eastAsia="黑体"/>
          <w:color w:val="333333"/>
          <w:kern w:val="0"/>
          <w:sz w:val="48"/>
          <w:szCs w:val="48"/>
        </w:rPr>
      </w:pPr>
    </w:p>
    <w:p>
      <w:pPr>
        <w:widowControl/>
        <w:spacing w:line="460" w:lineRule="atLeast"/>
        <w:ind w:firstLine="1920"/>
        <w:jc w:val="center"/>
        <w:rPr>
          <w:rFonts w:hint="eastAsia" w:ascii="黑体" w:hAnsi="黑体" w:eastAsia="黑体"/>
          <w:color w:val="333333"/>
          <w:kern w:val="0"/>
          <w:sz w:val="48"/>
          <w:szCs w:val="48"/>
        </w:rPr>
      </w:pPr>
    </w:p>
    <w:p>
      <w:pPr>
        <w:widowControl/>
        <w:spacing w:line="460" w:lineRule="atLeast"/>
        <w:ind w:firstLine="1920"/>
        <w:jc w:val="center"/>
        <w:rPr>
          <w:rFonts w:hint="eastAsia" w:ascii="黑体" w:hAnsi="黑体" w:eastAsia="黑体"/>
          <w:color w:val="333333"/>
          <w:kern w:val="0"/>
          <w:sz w:val="48"/>
          <w:szCs w:val="48"/>
        </w:rPr>
      </w:pPr>
    </w:p>
    <w:p>
      <w:pPr>
        <w:widowControl/>
        <w:ind w:firstLine="640"/>
        <w:jc w:val="center"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> </w:t>
      </w:r>
    </w:p>
    <w:p>
      <w:pPr>
        <w:widowControl/>
        <w:jc w:val="left"/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  <w:t>一、财政拨款收入，指中央财政当年拨付的资金。</w:t>
      </w:r>
    </w:p>
    <w:p>
      <w:pPr>
        <w:widowControl/>
        <w:jc w:val="left"/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  <w:t>二、其他收入，指上述“财政拨款收入”以外的收入，主要是按规定动用的售房收入、存款利息收入等。</w:t>
      </w:r>
    </w:p>
    <w:p>
      <w:pPr>
        <w:widowControl/>
        <w:jc w:val="left"/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粗黑宋简体" w:eastAsia="方正仿宋简体" w:cs="宋体"/>
          <w:color w:val="000000"/>
          <w:kern w:val="0"/>
          <w:sz w:val="32"/>
          <w:szCs w:val="32"/>
        </w:rPr>
        <w:t>三、上年结转，指以前年度尚未完成、结转到本年度仍按原规定用途继续使用的资金。</w:t>
      </w:r>
    </w:p>
    <w:p>
      <w:pPr>
        <w:jc w:val="left"/>
        <w:rPr>
          <w:rFonts w:hint="eastAsia" w:ascii="方正仿宋简体" w:hAnsi="宋体" w:eastAsia="方正仿宋简体" w:cs="宋体"/>
          <w:sz w:val="32"/>
          <w:szCs w:val="32"/>
        </w:rPr>
      </w:pPr>
    </w:p>
    <w:p>
      <w:pPr>
        <w:jc w:val="left"/>
        <w:rPr>
          <w:rFonts w:hint="eastAsia" w:ascii="方正仿宋简体" w:hAnsi="宋体" w:eastAsia="方正仿宋简体" w:cs="宋体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10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0"/>
        <w:sz w:val="24"/>
        <w:szCs w:val="24"/>
      </w:rPr>
      <w:t>8</w:t>
    </w:r>
    <w:r>
      <w:rPr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45E6"/>
    <w:multiLevelType w:val="singleLevel"/>
    <w:tmpl w:val="381845E6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05E8"/>
    <w:rsid w:val="00270A61"/>
    <w:rsid w:val="00332B74"/>
    <w:rsid w:val="003C0F9A"/>
    <w:rsid w:val="004A5983"/>
    <w:rsid w:val="005846FD"/>
    <w:rsid w:val="005C02A1"/>
    <w:rsid w:val="00615E52"/>
    <w:rsid w:val="00616B7D"/>
    <w:rsid w:val="006760A6"/>
    <w:rsid w:val="008B3DD2"/>
    <w:rsid w:val="00B34063"/>
    <w:rsid w:val="00D67A82"/>
    <w:rsid w:val="00D7761D"/>
    <w:rsid w:val="00E23922"/>
    <w:rsid w:val="00E30932"/>
    <w:rsid w:val="00E34BA9"/>
    <w:rsid w:val="00E52A7F"/>
    <w:rsid w:val="00ED5002"/>
    <w:rsid w:val="00EF2F10"/>
    <w:rsid w:val="03406155"/>
    <w:rsid w:val="05332CF5"/>
    <w:rsid w:val="062A4994"/>
    <w:rsid w:val="06E6601A"/>
    <w:rsid w:val="086A5685"/>
    <w:rsid w:val="0B425022"/>
    <w:rsid w:val="0B7F3AE5"/>
    <w:rsid w:val="0CDE5905"/>
    <w:rsid w:val="128873FE"/>
    <w:rsid w:val="12D60DFB"/>
    <w:rsid w:val="132C7A5E"/>
    <w:rsid w:val="13EA2A95"/>
    <w:rsid w:val="15B40955"/>
    <w:rsid w:val="16231002"/>
    <w:rsid w:val="1703589C"/>
    <w:rsid w:val="177112DD"/>
    <w:rsid w:val="17AB1B18"/>
    <w:rsid w:val="1A542E37"/>
    <w:rsid w:val="1B274EC4"/>
    <w:rsid w:val="1B8E0BA4"/>
    <w:rsid w:val="1C205163"/>
    <w:rsid w:val="1E1269F6"/>
    <w:rsid w:val="223553D0"/>
    <w:rsid w:val="25612F32"/>
    <w:rsid w:val="25D22916"/>
    <w:rsid w:val="25EA39E3"/>
    <w:rsid w:val="265A3BAC"/>
    <w:rsid w:val="27C4778E"/>
    <w:rsid w:val="2A64749E"/>
    <w:rsid w:val="2FE62009"/>
    <w:rsid w:val="316D7750"/>
    <w:rsid w:val="33467EC2"/>
    <w:rsid w:val="33C51396"/>
    <w:rsid w:val="36F24D8C"/>
    <w:rsid w:val="3C346F95"/>
    <w:rsid w:val="3D6F34C1"/>
    <w:rsid w:val="3DAD03C8"/>
    <w:rsid w:val="3E2C5074"/>
    <w:rsid w:val="3F0B0364"/>
    <w:rsid w:val="411A641C"/>
    <w:rsid w:val="43F70255"/>
    <w:rsid w:val="44670C94"/>
    <w:rsid w:val="45935C01"/>
    <w:rsid w:val="45EE473E"/>
    <w:rsid w:val="46D9026A"/>
    <w:rsid w:val="47B37183"/>
    <w:rsid w:val="4BCF4B42"/>
    <w:rsid w:val="4CCD22DB"/>
    <w:rsid w:val="4E0A1DFD"/>
    <w:rsid w:val="4F743518"/>
    <w:rsid w:val="517768EC"/>
    <w:rsid w:val="533A17EB"/>
    <w:rsid w:val="55856194"/>
    <w:rsid w:val="58534048"/>
    <w:rsid w:val="59160E69"/>
    <w:rsid w:val="5C6F4806"/>
    <w:rsid w:val="5D0F5382"/>
    <w:rsid w:val="5E387C4F"/>
    <w:rsid w:val="604648BD"/>
    <w:rsid w:val="66144252"/>
    <w:rsid w:val="6E3B2D6C"/>
    <w:rsid w:val="7091572D"/>
    <w:rsid w:val="70CD4EA3"/>
    <w:rsid w:val="73255DD9"/>
    <w:rsid w:val="7485547C"/>
    <w:rsid w:val="77406602"/>
    <w:rsid w:val="7DC330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qFormat/>
    <w:uiPriority w:val="0"/>
    <w:rPr>
      <w:b/>
      <w:bCs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333333"/>
      <w:u w:val="none"/>
      <w:shd w:val="clear" w:color="auto" w:fill="auto"/>
    </w:rPr>
  </w:style>
  <w:style w:type="character" w:styleId="12">
    <w:name w:val="annotation reference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1.e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8.emf"/><Relationship Id="rId21" Type="http://schemas.openxmlformats.org/officeDocument/2006/relationships/oleObject" Target="embeddings/oleObject8.bin"/><Relationship Id="rId20" Type="http://schemas.openxmlformats.org/officeDocument/2006/relationships/image" Target="media/image7.e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6.emf"/><Relationship Id="rId17" Type="http://schemas.openxmlformats.org/officeDocument/2006/relationships/oleObject" Target="embeddings/oleObject6.bin"/><Relationship Id="rId16" Type="http://schemas.openxmlformats.org/officeDocument/2006/relationships/image" Target="media/image5.emf"/><Relationship Id="rId15" Type="http://schemas.openxmlformats.org/officeDocument/2006/relationships/oleObject" Target="embeddings/oleObject5.bin"/><Relationship Id="rId14" Type="http://schemas.openxmlformats.org/officeDocument/2006/relationships/image" Target="media/image4.emf"/><Relationship Id="rId13" Type="http://schemas.openxmlformats.org/officeDocument/2006/relationships/oleObject" Target="embeddings/oleObject4.bin"/><Relationship Id="rId12" Type="http://schemas.openxmlformats.org/officeDocument/2006/relationships/image" Target="media/image3.emf"/><Relationship Id="rId11" Type="http://schemas.openxmlformats.org/officeDocument/2006/relationships/oleObject" Target="embeddings/oleObject3.bin"/><Relationship Id="rId10" Type="http://schemas.openxmlformats.org/officeDocument/2006/relationships/image" Target="media/image2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740</Words>
  <Characters>4224</Characters>
  <Lines>35</Lines>
  <Paragraphs>9</Paragraphs>
  <TotalTime>7</TotalTime>
  <ScaleCrop>false</ScaleCrop>
  <LinksUpToDate>false</LinksUpToDate>
  <CharactersWithSpaces>4955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2018-07-25T03:48:00Z</dcterms:created>
  <dc:creator>微软用户</dc:creator>
  <cp:lastModifiedBy>Administrator</cp:lastModifiedBy>
  <cp:lastPrinted>2022-09-30T05:01:00Z</cp:lastPrinted>
  <dcterms:modified xsi:type="dcterms:W3CDTF">2022-10-12T02:30:30Z</dcterms:modified>
  <dc:title>2013年度西藏自治区教育厅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