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4A" w:rsidRDefault="00E6724A">
      <w:pPr>
        <w:adjustRightInd/>
        <w:snapToGrid/>
        <w:spacing w:after="225" w:line="480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 xml:space="preserve">  </w:t>
      </w:r>
    </w:p>
    <w:p w:rsidR="00E6724A" w:rsidRDefault="00E6724A">
      <w:pPr>
        <w:adjustRightInd/>
        <w:snapToGrid/>
        <w:spacing w:after="225" w:line="480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E6724A" w:rsidRDefault="00E6724A">
      <w:pPr>
        <w:adjustRightInd/>
        <w:snapToGrid/>
        <w:spacing w:after="225" w:line="480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E6724A" w:rsidRDefault="00E6724A">
      <w:pPr>
        <w:adjustRightInd/>
        <w:snapToGrid/>
        <w:spacing w:after="225" w:line="480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E6724A" w:rsidRDefault="00E6724A">
      <w:pPr>
        <w:adjustRightInd/>
        <w:snapToGrid/>
        <w:spacing w:after="225" w:line="480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E6724A" w:rsidRDefault="00E6724A">
      <w:pPr>
        <w:adjustRightInd/>
        <w:snapToGrid/>
        <w:spacing w:after="225" w:line="480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E6724A" w:rsidRDefault="00E6724A">
      <w:pPr>
        <w:adjustRightInd/>
        <w:snapToGrid/>
        <w:spacing w:after="225" w:line="480" w:lineRule="atLeast"/>
        <w:jc w:val="center"/>
        <w:rPr>
          <w:rFonts w:ascii="黑体" w:eastAsia="黑体" w:hAnsi="黑体" w:cs="黑体"/>
          <w:b/>
          <w:bCs/>
          <w:color w:val="000000"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color w:val="000000"/>
          <w:sz w:val="48"/>
          <w:szCs w:val="48"/>
        </w:rPr>
        <w:t>朗县商务局</w:t>
      </w:r>
      <w:r>
        <w:rPr>
          <w:rFonts w:ascii="黑体" w:eastAsia="黑体" w:hAnsi="黑体" w:cs="黑体"/>
          <w:b/>
          <w:bCs/>
          <w:color w:val="000000"/>
          <w:sz w:val="48"/>
          <w:szCs w:val="48"/>
        </w:rPr>
        <w:t>2018</w:t>
      </w:r>
      <w:r>
        <w:rPr>
          <w:rFonts w:ascii="黑体" w:eastAsia="黑体" w:hAnsi="黑体" w:cs="黑体" w:hint="eastAsia"/>
          <w:b/>
          <w:bCs/>
          <w:color w:val="000000"/>
          <w:sz w:val="48"/>
          <w:szCs w:val="48"/>
        </w:rPr>
        <w:t>年度部门决算</w:t>
      </w:r>
    </w:p>
    <w:p w:rsidR="00E6724A" w:rsidRDefault="00E6724A">
      <w:pPr>
        <w:adjustRightInd/>
        <w:snapToGrid/>
        <w:spacing w:after="225" w:line="480" w:lineRule="atLeast"/>
        <w:jc w:val="center"/>
        <w:rPr>
          <w:rFonts w:ascii="黑体" w:eastAsia="黑体" w:hAnsi="黑体" w:cs="黑体"/>
          <w:b/>
          <w:bCs/>
          <w:color w:val="000000"/>
          <w:sz w:val="48"/>
          <w:szCs w:val="48"/>
        </w:rPr>
      </w:pPr>
    </w:p>
    <w:p w:rsidR="00E6724A" w:rsidRDefault="00E6724A">
      <w:pPr>
        <w:adjustRightInd/>
        <w:snapToGrid/>
        <w:spacing w:after="225" w:line="480" w:lineRule="atLeast"/>
        <w:jc w:val="center"/>
        <w:rPr>
          <w:rFonts w:ascii="黑体" w:eastAsia="黑体" w:hAnsi="黑体" w:cs="黑体"/>
          <w:b/>
          <w:bCs/>
          <w:color w:val="000000"/>
          <w:sz w:val="48"/>
          <w:szCs w:val="48"/>
        </w:rPr>
      </w:pPr>
    </w:p>
    <w:p w:rsidR="00E6724A" w:rsidRDefault="00E6724A">
      <w:pPr>
        <w:adjustRightInd/>
        <w:snapToGrid/>
        <w:spacing w:after="225" w:line="480" w:lineRule="atLeast"/>
        <w:jc w:val="center"/>
        <w:rPr>
          <w:rFonts w:ascii="黑体" w:eastAsia="黑体" w:hAnsi="黑体" w:cs="黑体"/>
          <w:b/>
          <w:bCs/>
          <w:color w:val="000000"/>
          <w:sz w:val="48"/>
          <w:szCs w:val="48"/>
        </w:rPr>
      </w:pPr>
    </w:p>
    <w:p w:rsidR="00E6724A" w:rsidRDefault="00E6724A">
      <w:pPr>
        <w:adjustRightInd/>
        <w:snapToGrid/>
        <w:spacing w:after="225" w:line="480" w:lineRule="atLeast"/>
        <w:jc w:val="center"/>
        <w:rPr>
          <w:rFonts w:ascii="黑体" w:eastAsia="黑体" w:hAnsi="黑体" w:cs="黑体"/>
          <w:b/>
          <w:bCs/>
          <w:color w:val="000000"/>
          <w:sz w:val="48"/>
          <w:szCs w:val="48"/>
        </w:rPr>
      </w:pPr>
    </w:p>
    <w:p w:rsidR="00E6724A" w:rsidRDefault="00E6724A">
      <w:pPr>
        <w:adjustRightInd/>
        <w:snapToGrid/>
        <w:spacing w:after="225" w:line="480" w:lineRule="atLeast"/>
        <w:jc w:val="center"/>
        <w:rPr>
          <w:rFonts w:ascii="黑体" w:eastAsia="黑体" w:hAnsi="黑体" w:cs="黑体"/>
          <w:b/>
          <w:bCs/>
          <w:color w:val="000000"/>
          <w:sz w:val="48"/>
          <w:szCs w:val="48"/>
        </w:rPr>
      </w:pPr>
    </w:p>
    <w:p w:rsidR="00E6724A" w:rsidRDefault="00E6724A">
      <w:pPr>
        <w:adjustRightInd/>
        <w:snapToGrid/>
        <w:spacing w:after="225" w:line="480" w:lineRule="atLeast"/>
        <w:jc w:val="center"/>
        <w:rPr>
          <w:rFonts w:ascii="黑体" w:eastAsia="黑体" w:hAnsi="黑体" w:cs="黑体"/>
          <w:b/>
          <w:bCs/>
          <w:color w:val="000000"/>
          <w:sz w:val="48"/>
          <w:szCs w:val="48"/>
        </w:rPr>
      </w:pPr>
    </w:p>
    <w:p w:rsidR="00E6724A" w:rsidRDefault="00E6724A" w:rsidP="00BF27F5">
      <w:pPr>
        <w:adjustRightInd/>
        <w:snapToGrid/>
        <w:spacing w:after="225" w:line="480" w:lineRule="atLeas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8"/>
          <w:attr w:name="Year" w:val="2019"/>
        </w:smartTagPr>
        <w:r>
          <w:rPr>
            <w:rFonts w:ascii="仿宋_GB2312" w:eastAsia="仿宋_GB2312" w:hAnsi="仿宋_GB2312" w:cs="仿宋_GB2312"/>
            <w:color w:val="000000"/>
            <w:sz w:val="32"/>
            <w:szCs w:val="32"/>
            <w:u w:val="single"/>
          </w:rPr>
          <w:t xml:space="preserve">2019   </w:t>
        </w:r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color w:val="000000"/>
            <w:sz w:val="32"/>
            <w:szCs w:val="32"/>
            <w:u w:val="single"/>
          </w:rPr>
          <w:t xml:space="preserve">  </w:t>
        </w:r>
      </w:smartTag>
      <w:r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  <w:t xml:space="preserve">8   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  <w:t xml:space="preserve">  28   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:rsidR="00E6724A" w:rsidRDefault="00E6724A">
      <w:pPr>
        <w:adjustRightInd/>
        <w:snapToGrid/>
        <w:spacing w:after="225" w:line="480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E6724A" w:rsidRDefault="00E6724A">
      <w:pPr>
        <w:adjustRightInd/>
        <w:snapToGrid/>
        <w:spacing w:after="225" w:line="480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E6724A" w:rsidRDefault="00E6724A">
      <w:pPr>
        <w:adjustRightInd/>
        <w:snapToGrid/>
        <w:spacing w:after="225" w:line="480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E6724A" w:rsidRDefault="00E6724A">
      <w:pPr>
        <w:adjustRightInd/>
        <w:snapToGrid/>
        <w:spacing w:after="225" w:line="480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目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录</w:t>
      </w:r>
    </w:p>
    <w:p w:rsidR="00E6724A" w:rsidRDefault="00E6724A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第一部分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西藏林芝朗县商务局概况</w:t>
      </w:r>
    </w:p>
    <w:p w:rsidR="00E6724A" w:rsidRDefault="00E6724A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一、部门预算单位构成</w:t>
      </w:r>
    </w:p>
    <w:p w:rsidR="00E6724A" w:rsidRDefault="00E6724A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二、部门职责和机构设置</w:t>
      </w:r>
    </w:p>
    <w:p w:rsidR="00E6724A" w:rsidRDefault="00E6724A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第二部分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西藏林芝朗县商务局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2019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年度部门预算明细表</w:t>
      </w:r>
    </w:p>
    <w:p w:rsidR="00E6724A" w:rsidRDefault="00E6724A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一、财政拨款收支总表</w:t>
      </w:r>
    </w:p>
    <w:p w:rsidR="00E6724A" w:rsidRDefault="00E6724A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二、一般公共预算支出表</w:t>
      </w:r>
    </w:p>
    <w:p w:rsidR="00E6724A" w:rsidRDefault="00E6724A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三、一般公共预算基本支出表</w:t>
      </w:r>
    </w:p>
    <w:p w:rsidR="00E6724A" w:rsidRDefault="00E6724A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四、一般公共预算“三公”经费支出表</w:t>
      </w:r>
    </w:p>
    <w:p w:rsidR="00E6724A" w:rsidRDefault="00E6724A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五、政府性基金预算支出表</w:t>
      </w:r>
    </w:p>
    <w:p w:rsidR="00E6724A" w:rsidRDefault="00E6724A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六、部门收支总表</w:t>
      </w:r>
    </w:p>
    <w:p w:rsidR="00E6724A" w:rsidRDefault="00E6724A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七、部门收入总表</w:t>
      </w:r>
    </w:p>
    <w:p w:rsidR="00E6724A" w:rsidRDefault="00E6724A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八、部门支出总表</w:t>
      </w:r>
    </w:p>
    <w:p w:rsidR="00E6724A" w:rsidRDefault="00E6724A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第三部分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西藏林芝朗县商务局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2019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年度部门预算数据分析</w:t>
      </w:r>
    </w:p>
    <w:p w:rsidR="00E6724A" w:rsidRDefault="00E6724A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第四部分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名词解释</w:t>
      </w:r>
    </w:p>
    <w:p w:rsidR="00E6724A" w:rsidRDefault="00E6724A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color w:val="000000"/>
          <w:sz w:val="24"/>
          <w:szCs w:val="24"/>
        </w:rPr>
      </w:pPr>
      <w:r>
        <w:rPr>
          <w:rFonts w:ascii="黑体" w:eastAsia="黑体" w:hAnsi="黑体" w:cs="宋体"/>
          <w:color w:val="000000"/>
          <w:sz w:val="24"/>
          <w:szCs w:val="24"/>
        </w:rPr>
        <w:t xml:space="preserve">          </w:t>
      </w:r>
    </w:p>
    <w:p w:rsidR="00E6724A" w:rsidRDefault="00E6724A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color w:val="000000"/>
          <w:sz w:val="24"/>
          <w:szCs w:val="24"/>
        </w:rPr>
      </w:pPr>
    </w:p>
    <w:p w:rsidR="00E6724A" w:rsidRDefault="00E6724A" w:rsidP="00BF27F5">
      <w:pPr>
        <w:adjustRightInd/>
        <w:snapToGrid/>
        <w:spacing w:after="0" w:line="598" w:lineRule="exact"/>
        <w:ind w:firstLineChars="600" w:firstLine="31680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 xml:space="preserve">    </w:t>
      </w:r>
    </w:p>
    <w:p w:rsidR="00E6724A" w:rsidRDefault="00E6724A" w:rsidP="00BF27F5">
      <w:pPr>
        <w:adjustRightInd/>
        <w:snapToGrid/>
        <w:spacing w:after="0" w:line="598" w:lineRule="exact"/>
        <w:ind w:firstLineChars="600" w:firstLine="31680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第一部分</w:t>
      </w:r>
    </w:p>
    <w:p w:rsidR="00E6724A" w:rsidRDefault="00E6724A" w:rsidP="00A2482B">
      <w:pPr>
        <w:adjustRightInd/>
        <w:snapToGrid/>
        <w:spacing w:beforeLines="71" w:after="0" w:line="598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西藏林芝朗县商务局概况</w:t>
      </w:r>
    </w:p>
    <w:p w:rsidR="00E6724A" w:rsidRDefault="00E6724A">
      <w:pPr>
        <w:adjustRightInd/>
        <w:snapToGrid/>
        <w:spacing w:after="0" w:line="598" w:lineRule="exact"/>
        <w:ind w:firstLine="480"/>
        <w:jc w:val="both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一、部门预算单位构成</w:t>
      </w:r>
    </w:p>
    <w:p w:rsidR="00E6724A" w:rsidRDefault="00E6724A">
      <w:pPr>
        <w:adjustRightInd/>
        <w:snapToGrid/>
        <w:spacing w:after="0" w:line="598" w:lineRule="exact"/>
        <w:ind w:firstLine="48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西藏林芝朗县商务局</w:t>
      </w:r>
    </w:p>
    <w:p w:rsidR="00E6724A" w:rsidRDefault="00E6724A">
      <w:pPr>
        <w:adjustRightInd/>
        <w:snapToGrid/>
        <w:spacing w:after="0" w:line="598" w:lineRule="exact"/>
        <w:ind w:firstLine="480"/>
        <w:jc w:val="both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二、部门职责和机构设置</w:t>
      </w:r>
    </w:p>
    <w:p w:rsidR="00E6724A" w:rsidRDefault="00E6724A">
      <w:pPr>
        <w:adjustRightInd/>
        <w:snapToGrid/>
        <w:spacing w:after="0" w:line="598" w:lineRule="exact"/>
        <w:ind w:firstLine="645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（一）部门职责</w:t>
      </w:r>
    </w:p>
    <w:p w:rsidR="00E6724A" w:rsidRDefault="00E6724A">
      <w:pPr>
        <w:adjustRightInd/>
        <w:snapToGrid/>
        <w:spacing w:after="0" w:line="598" w:lineRule="exac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、贯彻执行县委、县政府招商引资方面文件、政策、规定和决定，研究、拟定招商引资优惠政策和招商引资计划，统一管理全县招商引资工作。拟订朗县商贸流通发展、外贸发展规划。</w:t>
      </w:r>
    </w:p>
    <w:p w:rsidR="00E6724A" w:rsidRDefault="00E6724A">
      <w:pPr>
        <w:adjustRightInd/>
        <w:snapToGrid/>
        <w:spacing w:after="0" w:line="598" w:lineRule="exac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、项目的收集筛选工作，建立项目库。</w:t>
      </w:r>
    </w:p>
    <w:p w:rsidR="00E6724A" w:rsidRDefault="00E6724A">
      <w:pPr>
        <w:adjustRightInd/>
        <w:snapToGrid/>
        <w:spacing w:after="0" w:line="598" w:lineRule="exac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、负责投资咨询工作；接待国内外客商，参与招商项目的洽谈，做好与客商的联络和服务工作。</w:t>
      </w:r>
    </w:p>
    <w:p w:rsidR="00E6724A" w:rsidRDefault="00E6724A">
      <w:pPr>
        <w:adjustRightInd/>
        <w:snapToGrid/>
        <w:spacing w:after="0" w:line="598" w:lineRule="exac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、招商项目推介，招商项目跟踪落实。</w:t>
      </w:r>
    </w:p>
    <w:p w:rsidR="00E6724A" w:rsidRDefault="00E6724A">
      <w:pPr>
        <w:adjustRightInd/>
        <w:snapToGrid/>
        <w:spacing w:after="0" w:line="598" w:lineRule="exac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、组织渝洽会、西博会、厦交会、林芝投资贸易洽谈会等重要展会的参展工作。</w:t>
      </w:r>
    </w:p>
    <w:p w:rsidR="00E6724A" w:rsidRDefault="00E6724A">
      <w:pPr>
        <w:adjustRightInd/>
        <w:snapToGrid/>
        <w:spacing w:after="0" w:line="598" w:lineRule="exac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、作好招商引资、民间投资统计上报工作。</w:t>
      </w:r>
    </w:p>
    <w:p w:rsidR="00E6724A" w:rsidRDefault="00E6724A">
      <w:pPr>
        <w:adjustRightInd/>
        <w:snapToGrid/>
        <w:spacing w:after="0" w:line="598" w:lineRule="exac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、市场流通监测，组织实施我县重要消费品市场调控和重要生产资料流通管理。</w:t>
      </w:r>
    </w:p>
    <w:p w:rsidR="00E6724A" w:rsidRDefault="00E6724A">
      <w:pPr>
        <w:adjustRightInd/>
        <w:snapToGrid/>
        <w:spacing w:after="0" w:line="598" w:lineRule="exac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、家电下乡推广及补贴资金兑现。</w:t>
      </w:r>
    </w:p>
    <w:p w:rsidR="00E6724A" w:rsidRDefault="00E6724A">
      <w:pPr>
        <w:adjustRightInd/>
        <w:snapToGrid/>
        <w:spacing w:after="0" w:line="598" w:lineRule="exac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、特种行业管理（加油站、再生资源回收利用等）。</w:t>
      </w:r>
    </w:p>
    <w:p w:rsidR="00E6724A" w:rsidRDefault="00E6724A">
      <w:pPr>
        <w:adjustRightInd/>
        <w:snapToGrid/>
        <w:spacing w:after="0" w:line="598" w:lineRule="exac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、市场整顿和规范市场经济秩序工作。</w:t>
      </w:r>
    </w:p>
    <w:p w:rsidR="00E6724A" w:rsidRDefault="00E6724A">
      <w:pPr>
        <w:adjustRightInd/>
        <w:snapToGrid/>
        <w:spacing w:after="0" w:line="598" w:lineRule="exac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11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、做好电子商务进农村各项工作。</w:t>
      </w:r>
    </w:p>
    <w:p w:rsidR="00E6724A" w:rsidRDefault="00E6724A">
      <w:pPr>
        <w:adjustRightInd/>
        <w:snapToGrid/>
        <w:spacing w:after="0" w:line="598" w:lineRule="exac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、承办县委、县政府以及市商务局交办、委托的其他事项。</w:t>
      </w:r>
    </w:p>
    <w:p w:rsidR="00E6724A" w:rsidRDefault="00E6724A">
      <w:pPr>
        <w:adjustRightInd/>
        <w:snapToGrid/>
        <w:spacing w:after="0" w:line="598" w:lineRule="exact"/>
        <w:ind w:firstLine="645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（二）部门机构设置</w:t>
      </w:r>
    </w:p>
    <w:p w:rsidR="00E6724A" w:rsidRDefault="00E6724A">
      <w:pPr>
        <w:adjustRightInd/>
        <w:snapToGrid/>
        <w:spacing w:after="0" w:line="598" w:lineRule="exac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根据上述职责，西藏林芝朗县商务局设</w:t>
      </w:r>
      <w:r>
        <w:rPr>
          <w:rFonts w:ascii="仿宋" w:eastAsia="仿宋" w:hAnsi="仿宋" w:cs="仿宋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个内设机构），具体如下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:rsidR="00E6724A" w:rsidRDefault="00E6724A">
      <w:pPr>
        <w:adjustRightInd/>
        <w:snapToGrid/>
        <w:spacing w:after="0" w:line="598" w:lineRule="exac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、办公室</w:t>
      </w:r>
    </w:p>
    <w:p w:rsidR="00E6724A" w:rsidRDefault="00E6724A">
      <w:pPr>
        <w:adjustRightInd/>
        <w:snapToGrid/>
        <w:spacing w:after="0" w:line="598" w:lineRule="exac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负责会议组织、文电管理、秘书事务、政务信息、档案、保密、信访等委机关日常政务。负责重要文件起草工作；研究招商引资政策、方针和；组织、参与起草有关规定、办法和规范性文件；对有关经济法规和规章的执行情况进行调查研究。</w:t>
      </w:r>
    </w:p>
    <w:p w:rsidR="00E6724A" w:rsidRDefault="00E6724A">
      <w:pPr>
        <w:adjustRightInd/>
        <w:snapToGrid/>
        <w:spacing w:after="0" w:line="598" w:lineRule="exac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供销合作办</w:t>
      </w:r>
    </w:p>
    <w:p w:rsidR="00E6724A" w:rsidRDefault="00E6724A">
      <w:pPr>
        <w:adjustRightInd/>
        <w:snapToGrid/>
        <w:spacing w:after="0" w:line="580" w:lineRule="exact"/>
        <w:ind w:firstLine="645"/>
        <w:rPr>
          <w:rFonts w:ascii="仿宋" w:eastAsia="仿宋" w:hAnsi="仿宋" w:cs="仿宋"/>
          <w:color w:val="00000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val="zh-CN"/>
        </w:rPr>
        <w:t>负责有关农村经济工作和社会发展的方针、政策；参与研究制订全县农村商品流通的方针、政策规定；研究制定全县供销社和企业服务站的发展战略和发展规划，指导全县供销社的改革和发展；按照县政府授权，对重要农业生产资料、农付产品的经营进行组织、协调、管理；组织实施有关重要救灾物资的调拨供应。向县政府和有关部门反映农民社员及供销社的意见和要求，维护所属供销社和企业的合法权益，协调与有关部门的关系；指导全县供销社开展农业社会化服务和各项经营业务活动，促进城乡物资交流；指导全县供销社的经营管理；组织所属各供销社之间的经济合作；负责系统内有关基本建设和技术改造项目的管理；对所属单位的社有资产进行监督管理，并负责保值增值。</w:t>
      </w:r>
    </w:p>
    <w:p w:rsidR="00E6724A" w:rsidRDefault="00E6724A">
      <w:pPr>
        <w:adjustRightInd/>
        <w:snapToGrid/>
        <w:spacing w:after="0" w:line="580" w:lineRule="exact"/>
        <w:rPr>
          <w:rFonts w:ascii="仿宋" w:eastAsia="仿宋" w:hAnsi="仿宋" w:cs="仿宋"/>
          <w:color w:val="000000"/>
          <w:sz w:val="32"/>
          <w:szCs w:val="32"/>
          <w:lang w:val="zh-CN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3.</w:t>
      </w:r>
      <w:r>
        <w:rPr>
          <w:rFonts w:ascii="仿宋" w:eastAsia="仿宋" w:hAnsi="仿宋" w:cs="仿宋" w:hint="eastAsia"/>
          <w:color w:val="000000"/>
          <w:sz w:val="32"/>
          <w:szCs w:val="32"/>
          <w:lang w:val="zh-CN"/>
        </w:rPr>
        <w:t>企业服务办公室</w:t>
      </w:r>
    </w:p>
    <w:p w:rsidR="00E6724A" w:rsidRDefault="00E6724A">
      <w:pPr>
        <w:adjustRightInd/>
        <w:snapToGrid/>
        <w:spacing w:after="0" w:line="580" w:lineRule="exac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负责招商引资项目推介、跟踪、上报相关数据。负责投资咨询工作；接待国内外客商，参与招商项目的洽谈，做好与客商的联络和服务工作。制定企业联席制度，定期召开企业相关会议、并处理企业运营中出现的相关问题，工作事宜。</w:t>
      </w:r>
    </w:p>
    <w:p w:rsidR="00E6724A" w:rsidRDefault="00E6724A">
      <w:pPr>
        <w:numPr>
          <w:ilvl w:val="0"/>
          <w:numId w:val="1"/>
        </w:numPr>
        <w:adjustRightInd/>
        <w:snapToGrid/>
        <w:spacing w:after="0" w:line="580" w:lineRule="exac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电商办</w:t>
      </w:r>
    </w:p>
    <w:p w:rsidR="00E6724A" w:rsidRDefault="00E6724A" w:rsidP="00BF27F5">
      <w:pPr>
        <w:adjustRightInd/>
        <w:snapToGrid/>
        <w:spacing w:after="100" w:afterAutospacing="1" w:line="580" w:lineRule="exact"/>
        <w:ind w:firstLineChars="200" w:firstLine="316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val="zh-CN"/>
        </w:rPr>
        <w:t>负责收集生产、生活资料需求信息，做好信息收集、上报和购销对接服务。领导小组定期主持召开电子商务进农村工作会议，不定期主持召开电子商务企业、行业和运营商座谈会，研究电子商务发展模式，解决电子商务发展过程中遇到的困难和问题。加强对各级干部的宣传、教育、培训，提升他们开展电子商务进农牧区工作能力和业务素质。根据全县总体工作方案，各引导主体要制定切实可行的具体项目实施方案，负责引导和支持电商企业、电商服务企业等进农牧区。建立健全管理制度，加强建设我县电子商务标准和统计体系，加强对网上涉及行政许可的商品和服务监管，引导电子商务规范有序发展</w:t>
      </w:r>
      <w:r>
        <w:rPr>
          <w:rFonts w:ascii="仿宋" w:eastAsia="仿宋" w:hAnsi="仿宋" w:cs="仿宋"/>
          <w:color w:val="000000"/>
          <w:sz w:val="32"/>
          <w:szCs w:val="32"/>
          <w:lang w:val="zh-CN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  <w:lang w:val="zh-CN"/>
        </w:rPr>
        <w:t>。</w:t>
      </w:r>
    </w:p>
    <w:p w:rsidR="00E6724A" w:rsidRDefault="00E6724A" w:rsidP="00BF27F5">
      <w:pPr>
        <w:adjustRightInd/>
        <w:snapToGrid/>
        <w:spacing w:before="225" w:after="225"/>
        <w:ind w:firstLineChars="200" w:firstLine="31680"/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p w:rsidR="00E6724A" w:rsidRDefault="00E6724A" w:rsidP="00BF27F5">
      <w:pPr>
        <w:adjustRightInd/>
        <w:snapToGrid/>
        <w:spacing w:before="225" w:after="225" w:line="480" w:lineRule="atLeast"/>
        <w:ind w:firstLineChars="200" w:firstLine="31680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p w:rsidR="00E6724A" w:rsidRDefault="00E6724A" w:rsidP="00BF27F5">
      <w:pPr>
        <w:adjustRightInd/>
        <w:snapToGrid/>
        <w:spacing w:before="225" w:after="225" w:line="480" w:lineRule="atLeast"/>
        <w:ind w:firstLineChars="200" w:firstLine="31680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p w:rsidR="00E6724A" w:rsidRDefault="00E6724A">
      <w:pPr>
        <w:adjustRightInd/>
        <w:snapToGrid/>
        <w:spacing w:before="225" w:after="225" w:line="480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p w:rsidR="00E6724A" w:rsidRDefault="00E6724A">
      <w:pPr>
        <w:adjustRightInd/>
        <w:snapToGrid/>
        <w:spacing w:before="225" w:after="225" w:line="480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p w:rsidR="00E6724A" w:rsidRDefault="00E6724A">
      <w:pPr>
        <w:adjustRightInd/>
        <w:snapToGrid/>
        <w:spacing w:before="225" w:after="225" w:line="480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p w:rsidR="00E6724A" w:rsidRDefault="00E6724A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E6724A" w:rsidRDefault="00E6724A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E6724A" w:rsidRDefault="00E6724A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E6724A" w:rsidRDefault="00E6724A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第二部分</w:t>
      </w:r>
    </w:p>
    <w:p w:rsidR="00E6724A" w:rsidRDefault="00E6724A" w:rsidP="00BF27F5">
      <w:pPr>
        <w:spacing w:line="460" w:lineRule="exact"/>
        <w:ind w:firstLineChars="200" w:firstLine="31680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朗县商务局</w:t>
      </w:r>
      <w:r>
        <w:rPr>
          <w:rFonts w:ascii="黑体" w:eastAsia="黑体" w:hAnsi="宋体"/>
          <w:sz w:val="44"/>
          <w:szCs w:val="44"/>
        </w:rPr>
        <w:t>2018</w:t>
      </w:r>
      <w:r>
        <w:rPr>
          <w:rFonts w:ascii="黑体" w:eastAsia="黑体" w:hAnsi="宋体" w:hint="eastAsia"/>
          <w:sz w:val="44"/>
          <w:szCs w:val="44"/>
        </w:rPr>
        <w:t>年度决算明细表</w:t>
      </w:r>
    </w:p>
    <w:p w:rsidR="00E6724A" w:rsidRDefault="00E6724A" w:rsidP="00BF27F5">
      <w:pPr>
        <w:spacing w:line="460" w:lineRule="exact"/>
        <w:ind w:firstLineChars="200" w:firstLine="31680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/>
          <w:sz w:val="44"/>
          <w:szCs w:val="44"/>
        </w:rPr>
        <w:t>(</w:t>
      </w:r>
      <w:r>
        <w:rPr>
          <w:rFonts w:ascii="黑体" w:eastAsia="黑体" w:hAnsi="宋体" w:hint="eastAsia"/>
          <w:sz w:val="44"/>
          <w:szCs w:val="44"/>
        </w:rPr>
        <w:t>见附表</w:t>
      </w:r>
      <w:r>
        <w:rPr>
          <w:rFonts w:ascii="黑体" w:eastAsia="黑体" w:hAnsi="宋体"/>
          <w:sz w:val="44"/>
          <w:szCs w:val="44"/>
        </w:rPr>
        <w:t>1-8)</w:t>
      </w:r>
    </w:p>
    <w:p w:rsidR="00E6724A" w:rsidRDefault="00E6724A">
      <w:pPr>
        <w:rPr>
          <w:rFonts w:ascii="黑体" w:eastAsia="黑体" w:hAnsi="宋体"/>
          <w:sz w:val="48"/>
          <w:szCs w:val="48"/>
        </w:rPr>
      </w:pPr>
      <w:r>
        <w:rPr>
          <w:rFonts w:ascii="黑体" w:eastAsia="黑体" w:hAnsi="宋体"/>
          <w:sz w:val="48"/>
          <w:szCs w:val="48"/>
        </w:rPr>
        <w:t xml:space="preserve">           </w:t>
      </w:r>
    </w:p>
    <w:p w:rsidR="00E6724A" w:rsidRDefault="00E6724A" w:rsidP="00BF27F5">
      <w:pPr>
        <w:ind w:firstLineChars="600" w:firstLine="31680"/>
        <w:rPr>
          <w:rFonts w:ascii="黑体" w:eastAsia="黑体" w:hAnsi="宋体"/>
          <w:sz w:val="48"/>
          <w:szCs w:val="48"/>
        </w:rPr>
      </w:pPr>
      <w:r>
        <w:rPr>
          <w:rFonts w:ascii="黑体" w:eastAsia="黑体" w:hAnsi="宋体"/>
          <w:sz w:val="48"/>
          <w:szCs w:val="48"/>
        </w:rPr>
        <w:t xml:space="preserve">  </w:t>
      </w:r>
    </w:p>
    <w:p w:rsidR="00E6724A" w:rsidRDefault="00E6724A" w:rsidP="00BF27F5">
      <w:pPr>
        <w:ind w:firstLineChars="600" w:firstLine="31680"/>
        <w:rPr>
          <w:rFonts w:ascii="黑体" w:eastAsia="黑体" w:hAnsi="宋体"/>
          <w:sz w:val="48"/>
          <w:szCs w:val="48"/>
        </w:rPr>
      </w:pPr>
    </w:p>
    <w:p w:rsidR="00E6724A" w:rsidRDefault="00E6724A" w:rsidP="00BF27F5">
      <w:pPr>
        <w:ind w:firstLineChars="600" w:firstLine="31680"/>
        <w:rPr>
          <w:rFonts w:ascii="黑体" w:eastAsia="黑体" w:hAnsi="宋体"/>
          <w:sz w:val="48"/>
          <w:szCs w:val="48"/>
        </w:rPr>
      </w:pPr>
    </w:p>
    <w:p w:rsidR="00E6724A" w:rsidRDefault="00E6724A" w:rsidP="00BF27F5">
      <w:pPr>
        <w:ind w:firstLineChars="600" w:firstLine="31680"/>
        <w:rPr>
          <w:rFonts w:ascii="黑体" w:eastAsia="黑体" w:hAnsi="宋体"/>
          <w:sz w:val="48"/>
          <w:szCs w:val="48"/>
        </w:rPr>
      </w:pPr>
    </w:p>
    <w:p w:rsidR="00E6724A" w:rsidRDefault="00E6724A" w:rsidP="00BF27F5">
      <w:pPr>
        <w:ind w:firstLineChars="600" w:firstLine="31680"/>
        <w:rPr>
          <w:rFonts w:ascii="黑体" w:eastAsia="黑体" w:hAnsi="宋体"/>
          <w:sz w:val="48"/>
          <w:szCs w:val="48"/>
        </w:rPr>
      </w:pPr>
    </w:p>
    <w:p w:rsidR="00E6724A" w:rsidRDefault="00E6724A">
      <w:pPr>
        <w:rPr>
          <w:rFonts w:ascii="黑体" w:eastAsia="黑体" w:hAnsi="宋体"/>
          <w:sz w:val="48"/>
          <w:szCs w:val="48"/>
        </w:rPr>
      </w:pPr>
    </w:p>
    <w:p w:rsidR="00E6724A" w:rsidRDefault="00E6724A" w:rsidP="00BF27F5">
      <w:pPr>
        <w:ind w:firstLineChars="600" w:firstLine="31680"/>
        <w:rPr>
          <w:rFonts w:ascii="黑体" w:eastAsia="黑体" w:hAnsi="宋体"/>
          <w:sz w:val="48"/>
          <w:szCs w:val="48"/>
        </w:rPr>
      </w:pPr>
    </w:p>
    <w:p w:rsidR="00E6724A" w:rsidRDefault="00E6724A">
      <w:pPr>
        <w:jc w:val="center"/>
        <w:rPr>
          <w:rFonts w:ascii="黑体" w:eastAsia="黑体" w:hAnsi="黑体" w:cs="黑体"/>
          <w:sz w:val="44"/>
          <w:szCs w:val="44"/>
        </w:rPr>
      </w:pPr>
    </w:p>
    <w:p w:rsidR="00E6724A" w:rsidRDefault="00E6724A">
      <w:pPr>
        <w:spacing w:line="58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第三部分</w:t>
      </w:r>
    </w:p>
    <w:p w:rsidR="00E6724A" w:rsidRDefault="00E6724A">
      <w:pPr>
        <w:spacing w:line="58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朗县商务局</w:t>
      </w:r>
      <w:r>
        <w:rPr>
          <w:rFonts w:ascii="黑体" w:eastAsia="黑体" w:hAnsi="黑体" w:cs="黑体"/>
          <w:sz w:val="44"/>
          <w:szCs w:val="44"/>
        </w:rPr>
        <w:t>2018</w:t>
      </w:r>
      <w:r>
        <w:rPr>
          <w:rFonts w:ascii="黑体" w:eastAsia="黑体" w:hAnsi="黑体" w:cs="黑体" w:hint="eastAsia"/>
          <w:sz w:val="44"/>
          <w:szCs w:val="44"/>
        </w:rPr>
        <w:t>年度</w:t>
      </w:r>
    </w:p>
    <w:p w:rsidR="00E6724A" w:rsidRDefault="00E6724A">
      <w:pPr>
        <w:spacing w:line="58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决算情况说明</w:t>
      </w:r>
    </w:p>
    <w:p w:rsidR="00E6724A" w:rsidRDefault="00E6724A" w:rsidP="00BF27F5">
      <w:p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/>
          <w:sz w:val="32"/>
          <w:szCs w:val="32"/>
        </w:rPr>
        <w:t>2018</w:t>
      </w:r>
      <w:r>
        <w:rPr>
          <w:rFonts w:ascii="黑体" w:eastAsia="黑体" w:hAnsi="黑体" w:cs="黑体" w:hint="eastAsia"/>
          <w:sz w:val="32"/>
          <w:szCs w:val="32"/>
        </w:rPr>
        <w:t>年度一般公共预算收支总体情况说明</w:t>
      </w:r>
    </w:p>
    <w:p w:rsidR="00E6724A" w:rsidRDefault="00E6724A" w:rsidP="00BF27F5">
      <w:pPr>
        <w:ind w:firstLineChars="196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朗县商务局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年度收入总计</w:t>
      </w:r>
      <w:r>
        <w:rPr>
          <w:rFonts w:ascii="仿宋" w:eastAsia="仿宋" w:hAnsi="仿宋" w:cs="仿宋"/>
          <w:sz w:val="32"/>
          <w:szCs w:val="32"/>
        </w:rPr>
        <w:t xml:space="preserve"> 129.85</w:t>
      </w:r>
      <w:r>
        <w:rPr>
          <w:rFonts w:ascii="仿宋" w:eastAsia="仿宋" w:hAnsi="仿宋" w:cs="仿宋" w:hint="eastAsia"/>
          <w:sz w:val="32"/>
          <w:szCs w:val="32"/>
        </w:rPr>
        <w:t>万元，支出总计</w:t>
      </w:r>
      <w:r>
        <w:rPr>
          <w:rFonts w:ascii="仿宋" w:eastAsia="仿宋" w:hAnsi="仿宋" w:cs="仿宋"/>
          <w:sz w:val="32"/>
          <w:szCs w:val="32"/>
        </w:rPr>
        <w:t>99.15</w:t>
      </w:r>
      <w:r>
        <w:rPr>
          <w:rFonts w:ascii="仿宋" w:eastAsia="仿宋" w:hAnsi="仿宋" w:cs="仿宋" w:hint="eastAsia"/>
          <w:sz w:val="32"/>
          <w:szCs w:val="32"/>
        </w:rPr>
        <w:t>万元，与</w:t>
      </w:r>
      <w:r>
        <w:rPr>
          <w:rFonts w:ascii="仿宋" w:eastAsia="仿宋" w:hAnsi="仿宋" w:cs="仿宋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年相比，收、支各增加</w:t>
      </w:r>
      <w:r>
        <w:rPr>
          <w:rFonts w:ascii="仿宋" w:eastAsia="仿宋" w:hAnsi="仿宋" w:cs="仿宋"/>
          <w:sz w:val="32"/>
          <w:szCs w:val="32"/>
        </w:rPr>
        <w:t>20.06</w:t>
      </w:r>
      <w:r>
        <w:rPr>
          <w:rFonts w:ascii="仿宋" w:eastAsia="仿宋" w:hAnsi="仿宋" w:cs="仿宋" w:hint="eastAsia"/>
          <w:sz w:val="32"/>
          <w:szCs w:val="32"/>
        </w:rPr>
        <w:t>万元、</w:t>
      </w:r>
      <w:r>
        <w:rPr>
          <w:rFonts w:ascii="仿宋" w:eastAsia="仿宋" w:hAnsi="仿宋" w:cs="仿宋"/>
          <w:sz w:val="32"/>
          <w:szCs w:val="32"/>
        </w:rPr>
        <w:t>23.12</w:t>
      </w:r>
      <w:r>
        <w:rPr>
          <w:rFonts w:ascii="仿宋" w:eastAsia="仿宋" w:hAnsi="仿宋" w:cs="仿宋" w:hint="eastAsia"/>
          <w:sz w:val="32"/>
          <w:szCs w:val="32"/>
        </w:rPr>
        <w:t>万元，增长</w:t>
      </w:r>
      <w:r>
        <w:rPr>
          <w:rFonts w:ascii="仿宋" w:eastAsia="仿宋" w:hAnsi="仿宋" w:cs="仿宋"/>
          <w:sz w:val="32"/>
          <w:szCs w:val="32"/>
        </w:rPr>
        <w:t>19.5%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3%</w:t>
      </w:r>
      <w:r>
        <w:rPr>
          <w:rFonts w:ascii="仿宋" w:eastAsia="仿宋" w:hAnsi="仿宋" w:cs="仿宋" w:hint="eastAsia"/>
          <w:sz w:val="32"/>
          <w:szCs w:val="32"/>
        </w:rPr>
        <w:t>。主要原因是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年招商引资、市场监测项目等支出增加。</w:t>
      </w:r>
    </w:p>
    <w:p w:rsidR="00E6724A" w:rsidRDefault="00E6724A" w:rsidP="00BF27F5">
      <w:pPr>
        <w:ind w:firstLineChars="196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/>
          <w:sz w:val="32"/>
          <w:szCs w:val="32"/>
        </w:rPr>
        <w:t>2018</w:t>
      </w:r>
      <w:r>
        <w:rPr>
          <w:rFonts w:ascii="黑体" w:eastAsia="黑体" w:hAnsi="黑体" w:cs="黑体" w:hint="eastAsia"/>
          <w:sz w:val="32"/>
          <w:szCs w:val="32"/>
        </w:rPr>
        <w:t>年度一般公共预算收入情况说明</w:t>
      </w:r>
    </w:p>
    <w:p w:rsidR="00E6724A" w:rsidRDefault="00E6724A" w:rsidP="00BF27F5">
      <w:pPr>
        <w:ind w:firstLineChars="196" w:firstLine="31680"/>
        <w:rPr>
          <w:rFonts w:ascii="宋体" w:eastAsia="宋体" w:cs="宋体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朗县商务局</w:t>
      </w:r>
      <w:r>
        <w:rPr>
          <w:rFonts w:ascii="仿宋" w:eastAsia="仿宋" w:hAnsi="仿宋" w:cs="仿宋"/>
          <w:color w:val="000000"/>
          <w:sz w:val="32"/>
          <w:szCs w:val="32"/>
        </w:rPr>
        <w:t>2018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年度财政拨款收入是</w:t>
      </w:r>
      <w:r>
        <w:rPr>
          <w:rFonts w:ascii="仿宋" w:eastAsia="仿宋" w:hAnsi="仿宋" w:cs="仿宋"/>
          <w:color w:val="000000"/>
          <w:sz w:val="32"/>
          <w:szCs w:val="32"/>
        </w:rPr>
        <w:t>129.85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财政拨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款收入</w:t>
      </w:r>
      <w:r>
        <w:rPr>
          <w:rFonts w:ascii="仿宋" w:eastAsia="仿宋" w:hAnsi="仿宋" w:cs="仿宋"/>
          <w:color w:val="000000"/>
          <w:sz w:val="32"/>
          <w:szCs w:val="32"/>
        </w:rPr>
        <w:t>129.85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万元，占</w:t>
      </w:r>
      <w:r>
        <w:rPr>
          <w:rFonts w:ascii="仿宋" w:eastAsia="仿宋" w:hAnsi="仿宋" w:cs="仿宋"/>
          <w:color w:val="000000"/>
          <w:sz w:val="32"/>
          <w:szCs w:val="32"/>
        </w:rPr>
        <w:t>100</w:t>
      </w:r>
      <w:r>
        <w:rPr>
          <w:rFonts w:ascii="宋体" w:hAnsi="宋体" w:cs="宋体" w:hint="eastAsia"/>
          <w:color w:val="000000"/>
          <w:sz w:val="32"/>
          <w:szCs w:val="32"/>
        </w:rPr>
        <w:t>％。</w:t>
      </w:r>
    </w:p>
    <w:p w:rsidR="00E6724A" w:rsidRDefault="00E6724A" w:rsidP="00BF27F5">
      <w:pPr>
        <w:ind w:firstLineChars="196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/>
          <w:sz w:val="32"/>
          <w:szCs w:val="32"/>
        </w:rPr>
        <w:t>2018</w:t>
      </w:r>
      <w:r>
        <w:rPr>
          <w:rFonts w:ascii="黑体" w:eastAsia="黑体" w:hAnsi="黑体" w:cs="黑体" w:hint="eastAsia"/>
          <w:sz w:val="32"/>
          <w:szCs w:val="32"/>
        </w:rPr>
        <w:t>年度一般公共预算支出情况说明</w:t>
      </w:r>
    </w:p>
    <w:p w:rsidR="00E6724A" w:rsidRDefault="00E6724A" w:rsidP="00BF27F5">
      <w:pPr>
        <w:ind w:firstLineChars="196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朗县商务局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年度支出</w:t>
      </w:r>
      <w:r>
        <w:rPr>
          <w:rFonts w:ascii="仿宋" w:eastAsia="仿宋" w:hAnsi="仿宋" w:cs="仿宋"/>
          <w:sz w:val="32"/>
          <w:szCs w:val="32"/>
        </w:rPr>
        <w:t>99.15</w:t>
      </w:r>
      <w:r>
        <w:rPr>
          <w:rFonts w:ascii="仿宋" w:eastAsia="仿宋" w:hAnsi="仿宋" w:cs="仿宋" w:hint="eastAsia"/>
          <w:sz w:val="32"/>
          <w:szCs w:val="32"/>
        </w:rPr>
        <w:t>万元，基本支出</w:t>
      </w:r>
      <w:r>
        <w:rPr>
          <w:rFonts w:ascii="仿宋" w:eastAsia="仿宋" w:hAnsi="仿宋" w:cs="仿宋"/>
          <w:sz w:val="32"/>
          <w:szCs w:val="32"/>
        </w:rPr>
        <w:t>99.15</w:t>
      </w:r>
      <w:r>
        <w:rPr>
          <w:rFonts w:ascii="仿宋" w:eastAsia="仿宋" w:hAnsi="仿宋" w:cs="仿宋" w:hint="eastAsia"/>
          <w:sz w:val="32"/>
          <w:szCs w:val="32"/>
        </w:rPr>
        <w:t>万元，其中人员支出万元</w:t>
      </w:r>
      <w:r>
        <w:rPr>
          <w:rFonts w:ascii="仿宋" w:eastAsia="仿宋" w:hAnsi="仿宋" w:cs="仿宋"/>
          <w:sz w:val="32"/>
          <w:szCs w:val="32"/>
        </w:rPr>
        <w:t>81.98</w:t>
      </w:r>
      <w:r>
        <w:rPr>
          <w:rFonts w:ascii="仿宋" w:eastAsia="仿宋" w:hAnsi="仿宋" w:cs="仿宋" w:hint="eastAsia"/>
          <w:sz w:val="32"/>
          <w:szCs w:val="32"/>
        </w:rPr>
        <w:t>，占</w:t>
      </w:r>
      <w:r>
        <w:rPr>
          <w:rFonts w:ascii="仿宋" w:eastAsia="仿宋" w:hAnsi="仿宋" w:cs="仿宋"/>
          <w:sz w:val="32"/>
          <w:szCs w:val="32"/>
        </w:rPr>
        <w:t>83%</w:t>
      </w:r>
      <w:r>
        <w:rPr>
          <w:rFonts w:ascii="仿宋" w:eastAsia="仿宋" w:hAnsi="仿宋" w:cs="仿宋" w:hint="eastAsia"/>
          <w:sz w:val="32"/>
          <w:szCs w:val="32"/>
        </w:rPr>
        <w:t>；日常公用经费支出</w:t>
      </w:r>
      <w:r>
        <w:rPr>
          <w:rFonts w:ascii="仿宋" w:eastAsia="仿宋" w:hAnsi="仿宋" w:cs="仿宋"/>
          <w:sz w:val="32"/>
          <w:szCs w:val="32"/>
        </w:rPr>
        <w:t>17.18</w:t>
      </w:r>
      <w:r>
        <w:rPr>
          <w:rFonts w:ascii="仿宋" w:eastAsia="仿宋" w:hAnsi="仿宋" w:cs="仿宋" w:hint="eastAsia"/>
          <w:sz w:val="32"/>
          <w:szCs w:val="32"/>
        </w:rPr>
        <w:t>万元，占</w:t>
      </w:r>
      <w:r>
        <w:rPr>
          <w:rFonts w:ascii="仿宋" w:eastAsia="仿宋" w:hAnsi="仿宋" w:cs="仿宋"/>
          <w:sz w:val="32"/>
          <w:szCs w:val="32"/>
        </w:rPr>
        <w:t>17%</w:t>
      </w:r>
      <w:r>
        <w:rPr>
          <w:rFonts w:ascii="仿宋" w:eastAsia="仿宋" w:hAnsi="仿宋" w:cs="仿宋" w:hint="eastAsia"/>
          <w:sz w:val="32"/>
          <w:szCs w:val="32"/>
        </w:rPr>
        <w:t>。项目支出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元。</w:t>
      </w:r>
    </w:p>
    <w:p w:rsidR="00E6724A" w:rsidRDefault="00E6724A" w:rsidP="00BF27F5">
      <w:pPr>
        <w:ind w:firstLineChars="196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/>
          <w:sz w:val="32"/>
          <w:szCs w:val="32"/>
        </w:rPr>
        <w:t>2018</w:t>
      </w:r>
      <w:r>
        <w:rPr>
          <w:rFonts w:ascii="黑体" w:eastAsia="黑体" w:hAnsi="黑体" w:cs="黑体" w:hint="eastAsia"/>
          <w:sz w:val="32"/>
          <w:szCs w:val="32"/>
        </w:rPr>
        <w:t>年度一般公共预算财政拨款支出情况说明</w:t>
      </w:r>
    </w:p>
    <w:p w:rsidR="00E6724A" w:rsidRDefault="00E6724A" w:rsidP="00BF27F5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（一）财政拨款支出决算数为</w:t>
      </w:r>
      <w:r>
        <w:rPr>
          <w:rFonts w:ascii="仿宋" w:eastAsia="仿宋" w:hAnsi="仿宋" w:cs="仿宋"/>
          <w:sz w:val="32"/>
          <w:szCs w:val="32"/>
        </w:rPr>
        <w:t>99.15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E6724A" w:rsidRDefault="00E6724A" w:rsidP="00BF27F5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（二）财政拨款支出决算结构情况</w:t>
      </w:r>
    </w:p>
    <w:p w:rsidR="00E6724A" w:rsidRDefault="00E6724A" w:rsidP="00BF27F5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一般公共预算支出</w:t>
      </w:r>
      <w:r>
        <w:rPr>
          <w:rFonts w:ascii="仿宋" w:eastAsia="仿宋" w:hAnsi="仿宋" w:cs="仿宋"/>
          <w:sz w:val="32"/>
          <w:szCs w:val="32"/>
        </w:rPr>
        <w:t>99.15</w:t>
      </w:r>
      <w:r>
        <w:rPr>
          <w:rFonts w:ascii="仿宋" w:eastAsia="仿宋" w:hAnsi="仿宋" w:cs="仿宋" w:hint="eastAsia"/>
          <w:sz w:val="32"/>
          <w:szCs w:val="32"/>
        </w:rPr>
        <w:t>万元，主要用于以下方面：一是一般公共服务支出</w:t>
      </w:r>
      <w:r>
        <w:rPr>
          <w:rFonts w:ascii="仿宋" w:eastAsia="仿宋" w:hAnsi="仿宋" w:cs="仿宋"/>
          <w:sz w:val="32"/>
          <w:szCs w:val="32"/>
        </w:rPr>
        <w:t>98.13</w:t>
      </w:r>
      <w:r>
        <w:rPr>
          <w:rFonts w:ascii="仿宋" w:eastAsia="仿宋" w:hAnsi="仿宋" w:cs="仿宋" w:hint="eastAsia"/>
          <w:sz w:val="32"/>
          <w:szCs w:val="32"/>
        </w:rPr>
        <w:t>万元，占</w:t>
      </w:r>
      <w:r>
        <w:rPr>
          <w:rFonts w:ascii="仿宋" w:eastAsia="仿宋" w:hAnsi="仿宋" w:cs="仿宋"/>
          <w:sz w:val="32"/>
          <w:szCs w:val="32"/>
        </w:rPr>
        <w:t>98.9%</w:t>
      </w:r>
      <w:r>
        <w:rPr>
          <w:rFonts w:ascii="仿宋" w:eastAsia="仿宋" w:hAnsi="仿宋" w:cs="仿宋" w:hint="eastAsia"/>
          <w:sz w:val="32"/>
          <w:szCs w:val="32"/>
        </w:rPr>
        <w:t>。二是医疗卫生与计划生育支出</w:t>
      </w:r>
      <w:r>
        <w:rPr>
          <w:rFonts w:ascii="仿宋" w:eastAsia="仿宋" w:hAnsi="仿宋" w:cs="仿宋"/>
          <w:sz w:val="32"/>
          <w:szCs w:val="32"/>
        </w:rPr>
        <w:t>0.78</w:t>
      </w:r>
      <w:r>
        <w:rPr>
          <w:rFonts w:ascii="仿宋" w:eastAsia="仿宋" w:hAnsi="仿宋" w:cs="仿宋" w:hint="eastAsia"/>
          <w:sz w:val="32"/>
          <w:szCs w:val="32"/>
        </w:rPr>
        <w:t>万元。占</w:t>
      </w:r>
      <w:r>
        <w:rPr>
          <w:rFonts w:ascii="仿宋" w:eastAsia="仿宋" w:hAnsi="仿宋" w:cs="仿宋"/>
          <w:sz w:val="32"/>
          <w:szCs w:val="32"/>
        </w:rPr>
        <w:t>0.78%</w:t>
      </w:r>
      <w:r>
        <w:rPr>
          <w:rFonts w:ascii="仿宋" w:eastAsia="仿宋" w:hAnsi="仿宋" w:cs="仿宋" w:hint="eastAsia"/>
          <w:sz w:val="32"/>
          <w:szCs w:val="32"/>
        </w:rPr>
        <w:t>。三是商业服务业等支出</w:t>
      </w:r>
      <w:r>
        <w:rPr>
          <w:rFonts w:ascii="仿宋" w:eastAsia="仿宋" w:hAnsi="仿宋" w:cs="仿宋"/>
          <w:sz w:val="32"/>
          <w:szCs w:val="32"/>
        </w:rPr>
        <w:t>0.24</w:t>
      </w:r>
      <w:r>
        <w:rPr>
          <w:rFonts w:ascii="仿宋" w:eastAsia="仿宋" w:hAnsi="仿宋" w:cs="仿宋" w:hint="eastAsia"/>
          <w:sz w:val="32"/>
          <w:szCs w:val="32"/>
        </w:rPr>
        <w:t>万元。占</w:t>
      </w:r>
      <w:r>
        <w:rPr>
          <w:rFonts w:ascii="仿宋" w:eastAsia="仿宋" w:hAnsi="仿宋" w:cs="仿宋"/>
          <w:sz w:val="32"/>
          <w:szCs w:val="32"/>
        </w:rPr>
        <w:t>0.24%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6724A" w:rsidRDefault="00E6724A" w:rsidP="00BF27F5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（三）财政拨款支出决算具体情况</w:t>
      </w:r>
    </w:p>
    <w:p w:rsidR="00E6724A" w:rsidRDefault="00E6724A" w:rsidP="00BF27F5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一般公共服务支出（类）商贸事物（款）行政运行</w:t>
      </w:r>
    </w:p>
    <w:p w:rsidR="00E6724A" w:rsidRDefault="00E6724A" w:rsidP="00BF27F5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（项）</w:t>
      </w:r>
      <w:r>
        <w:rPr>
          <w:rFonts w:ascii="仿宋" w:eastAsia="仿宋" w:hAnsi="仿宋" w:cs="仿宋"/>
          <w:sz w:val="32"/>
          <w:szCs w:val="32"/>
        </w:rPr>
        <w:t>83.99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E6724A" w:rsidRDefault="00E6724A" w:rsidP="00BF27F5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一般公共服务支出（类）商贸事物（款）一般行政管理事务（项）</w:t>
      </w:r>
      <w:r>
        <w:rPr>
          <w:rFonts w:ascii="仿宋" w:eastAsia="仿宋" w:hAnsi="仿宋" w:cs="仿宋"/>
          <w:sz w:val="32"/>
          <w:szCs w:val="32"/>
        </w:rPr>
        <w:t>3.8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E6724A" w:rsidRDefault="00E6724A" w:rsidP="00BF27F5">
      <w:pPr>
        <w:ind w:firstLineChars="200" w:firstLine="31680"/>
        <w:rPr>
          <w:rFonts w:ascii="仿宋" w:eastAsia="仿宋" w:hAnsi="仿宋" w:cs="仿宋"/>
          <w:color w:val="C00000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一般公共服务支出（类）商贸事物（款）招商引资（项）支出</w:t>
      </w:r>
      <w:r>
        <w:rPr>
          <w:rFonts w:ascii="仿宋" w:eastAsia="仿宋" w:hAnsi="仿宋" w:cs="仿宋"/>
          <w:sz w:val="32"/>
          <w:szCs w:val="32"/>
        </w:rPr>
        <w:t>10.35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E6724A" w:rsidRDefault="00E6724A" w:rsidP="00BF27F5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、医疗卫生与计划生育支出（类）行政事业单位医疗（款）其他行政事业单位医疗（项）支出</w:t>
      </w:r>
      <w:r>
        <w:rPr>
          <w:rFonts w:ascii="仿宋" w:eastAsia="仿宋" w:hAnsi="仿宋" w:cs="仿宋"/>
          <w:sz w:val="32"/>
          <w:szCs w:val="32"/>
        </w:rPr>
        <w:t>0.78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E6724A" w:rsidRDefault="00E6724A" w:rsidP="00BF27F5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、商业服务业等支出（类）商业流通事物（款）市场监测及信息管理（项）支出</w:t>
      </w:r>
      <w:r>
        <w:rPr>
          <w:rFonts w:ascii="仿宋" w:eastAsia="仿宋" w:hAnsi="仿宋" w:cs="仿宋"/>
          <w:sz w:val="32"/>
          <w:szCs w:val="32"/>
        </w:rPr>
        <w:t>0.24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E6724A" w:rsidRDefault="00E6724A">
      <w:pPr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五、</w:t>
      </w:r>
      <w:r>
        <w:rPr>
          <w:rFonts w:ascii="黑体" w:eastAsia="黑体" w:hAnsi="宋体"/>
          <w:bCs/>
          <w:sz w:val="32"/>
          <w:szCs w:val="32"/>
        </w:rPr>
        <w:t>2017</w:t>
      </w:r>
      <w:r>
        <w:rPr>
          <w:rFonts w:ascii="黑体" w:eastAsia="黑体" w:hAnsi="宋体" w:hint="eastAsia"/>
          <w:bCs/>
          <w:sz w:val="32"/>
          <w:szCs w:val="32"/>
        </w:rPr>
        <w:t>年度“三公”经费预决算情况说明</w:t>
      </w:r>
    </w:p>
    <w:p w:rsidR="00E6724A" w:rsidRDefault="00E6724A">
      <w:pPr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朗县商务局</w:t>
      </w:r>
      <w:r>
        <w:rPr>
          <w:rFonts w:ascii="仿宋" w:eastAsia="仿宋" w:hAnsi="仿宋" w:cs="仿宋"/>
          <w:bCs/>
          <w:sz w:val="32"/>
          <w:szCs w:val="32"/>
        </w:rPr>
        <w:t>2018</w:t>
      </w:r>
      <w:r>
        <w:rPr>
          <w:rFonts w:ascii="仿宋" w:eastAsia="仿宋" w:hAnsi="仿宋" w:cs="仿宋" w:hint="eastAsia"/>
          <w:bCs/>
          <w:sz w:val="32"/>
          <w:szCs w:val="32"/>
        </w:rPr>
        <w:t>年“三公”经费情况表</w:t>
      </w:r>
    </w:p>
    <w:p w:rsidR="00E6724A" w:rsidRDefault="00E6724A" w:rsidP="00A2482B">
      <w:pPr>
        <w:tabs>
          <w:tab w:val="center" w:pos="4213"/>
          <w:tab w:val="right" w:pos="8306"/>
        </w:tabs>
        <w:spacing w:beforeLines="100" w:afterLines="1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单位：万元</w:t>
      </w:r>
    </w:p>
    <w:tbl>
      <w:tblPr>
        <w:tblW w:w="8969" w:type="dxa"/>
        <w:jc w:val="center"/>
        <w:tblLayout w:type="fixed"/>
        <w:tblLook w:val="00A0"/>
      </w:tblPr>
      <w:tblGrid>
        <w:gridCol w:w="4160"/>
        <w:gridCol w:w="1417"/>
        <w:gridCol w:w="1549"/>
        <w:gridCol w:w="1843"/>
      </w:tblGrid>
      <w:tr w:rsidR="00E6724A" w:rsidRPr="00A2482B">
        <w:trPr>
          <w:trHeight w:hRule="exact" w:val="567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ind w:right="120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单位：万元项目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预算数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决算数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E6724A" w:rsidRPr="00A2482B">
        <w:trPr>
          <w:trHeight w:hRule="exact" w:val="567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0.50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0.48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E6724A" w:rsidRPr="00A2482B">
        <w:trPr>
          <w:trHeight w:hRule="exact" w:val="567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因公出国（境）费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tabs>
                <w:tab w:val="left" w:pos="495"/>
              </w:tabs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ab/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E6724A" w:rsidRPr="00A2482B">
        <w:trPr>
          <w:trHeight w:hRule="exact" w:val="567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公务接待费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0.50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0.48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E6724A" w:rsidRPr="00A2482B">
        <w:trPr>
          <w:trHeight w:hRule="exact" w:val="567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公务用车经费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6724A" w:rsidRPr="00A2482B">
        <w:trPr>
          <w:trHeight w:hRule="exact" w:val="772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其中：（</w:t>
            </w:r>
            <w:r>
              <w:rPr>
                <w:rFonts w:ascii="仿宋" w:eastAsia="仿宋" w:hAnsi="仿宋" w:cs="仿宋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）公务用车运行维护费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24A" w:rsidRDefault="00E6724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E6724A" w:rsidRPr="00A2482B">
        <w:trPr>
          <w:trHeight w:hRule="exact" w:val="567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）公务用车购置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24A" w:rsidRDefault="00E6724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A" w:rsidRDefault="00E6724A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</w:p>
        </w:tc>
      </w:tr>
    </w:tbl>
    <w:p w:rsidR="00E6724A" w:rsidRDefault="00E6724A" w:rsidP="00E6724A">
      <w:pPr>
        <w:ind w:firstLineChars="196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年度我局“三公”经费发生</w:t>
      </w:r>
      <w:r>
        <w:rPr>
          <w:rFonts w:ascii="仿宋_GB2312" w:eastAsia="仿宋_GB2312" w:hAnsi="仿宋_GB2312" w:cs="仿宋_GB2312"/>
          <w:sz w:val="32"/>
          <w:szCs w:val="32"/>
        </w:rPr>
        <w:t>0.48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万元。其中公务接待费</w:t>
      </w:r>
      <w:r>
        <w:rPr>
          <w:rFonts w:ascii="仿宋_GB2312" w:eastAsia="仿宋_GB2312" w:hAnsi="仿宋_GB2312" w:cs="仿宋_GB2312"/>
          <w:sz w:val="32"/>
          <w:szCs w:val="32"/>
        </w:rPr>
        <w:t>0.48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万元。国内公务接待</w:t>
      </w:r>
      <w:r>
        <w:rPr>
          <w:rFonts w:ascii="仿宋_GB2312" w:eastAsia="仿宋_GB2312" w:hAnsi="仿宋_GB2312" w:cs="仿宋_GB2312"/>
          <w:sz w:val="32"/>
          <w:szCs w:val="32"/>
        </w:rPr>
        <w:t xml:space="preserve">3 </w:t>
      </w:r>
      <w:r>
        <w:rPr>
          <w:rFonts w:ascii="仿宋_GB2312" w:eastAsia="仿宋_GB2312" w:hAnsi="仿宋_GB2312" w:cs="仿宋_GB2312" w:hint="eastAsia"/>
          <w:sz w:val="32"/>
          <w:szCs w:val="32"/>
        </w:rPr>
        <w:t>批次、</w:t>
      </w:r>
      <w:r>
        <w:rPr>
          <w:rFonts w:ascii="仿宋_GB2312" w:eastAsia="仿宋_GB2312" w:hAnsi="仿宋_GB2312" w:cs="仿宋_GB2312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sz w:val="32"/>
          <w:szCs w:val="32"/>
        </w:rPr>
        <w:t>人次。我局目前没有公务车。（说明：</w:t>
      </w:r>
      <w:r>
        <w:rPr>
          <w:rFonts w:ascii="仿宋" w:eastAsia="仿宋" w:hAnsi="仿宋" w:cs="仿宋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年商务局系发改委二级局，没有单独的公用经费，无法做对比）。</w:t>
      </w:r>
    </w:p>
    <w:p w:rsidR="00E6724A" w:rsidRDefault="00E6724A" w:rsidP="00BF27F5">
      <w:pPr>
        <w:ind w:firstLineChars="200" w:firstLine="3168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六、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年度机关运行情况说明</w:t>
      </w:r>
    </w:p>
    <w:p w:rsidR="00E6724A" w:rsidRDefault="00E6724A" w:rsidP="00BF27F5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年本部门（含下属单位）履行一般行政事业管理职能、维持机关运行，用一般公用预算安排的行政经费，合计</w:t>
      </w:r>
      <w:r>
        <w:rPr>
          <w:rFonts w:ascii="仿宋" w:eastAsia="仿宋" w:hAnsi="仿宋"/>
          <w:sz w:val="32"/>
          <w:szCs w:val="32"/>
        </w:rPr>
        <w:t>17.18</w:t>
      </w:r>
      <w:r>
        <w:rPr>
          <w:rFonts w:ascii="仿宋" w:eastAsia="仿宋" w:hAnsi="仿宋" w:hint="eastAsia"/>
          <w:sz w:val="32"/>
          <w:szCs w:val="32"/>
        </w:rPr>
        <w:t>万元。其中，基本支出</w:t>
      </w:r>
      <w:r>
        <w:rPr>
          <w:rFonts w:ascii="仿宋" w:eastAsia="仿宋" w:hAnsi="仿宋"/>
          <w:sz w:val="32"/>
          <w:szCs w:val="32"/>
        </w:rPr>
        <w:t>17.18</w:t>
      </w:r>
      <w:r>
        <w:rPr>
          <w:rFonts w:ascii="仿宋" w:eastAsia="仿宋" w:hAnsi="仿宋" w:hint="eastAsia"/>
          <w:sz w:val="32"/>
          <w:szCs w:val="32"/>
        </w:rPr>
        <w:t>万元。项目支出</w:t>
      </w:r>
      <w:r>
        <w:rPr>
          <w:rFonts w:ascii="仿宋" w:eastAsia="仿宋" w:hAnsi="仿宋"/>
          <w:sz w:val="32"/>
          <w:szCs w:val="32"/>
        </w:rPr>
        <w:t>0.48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E6724A" w:rsidRDefault="00E6724A" w:rsidP="00BF27F5">
      <w:pPr>
        <w:spacing w:after="0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（二）机关运行经费预算的内容</w:t>
      </w:r>
    </w:p>
    <w:p w:rsidR="00E6724A" w:rsidRDefault="00E6724A" w:rsidP="00BF27F5">
      <w:pPr>
        <w:spacing w:after="0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行政经费由基本支出和一般行政支出两部分组成；</w:t>
      </w:r>
    </w:p>
    <w:p w:rsidR="00E6724A" w:rsidRDefault="00E6724A" w:rsidP="00BF27F5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基本支出，包括两部分；一部分是人员经费，具体包括工资、津贴及奖金、医疗费、住房补贴等；二是公用经费，具体包括办公及印刷费、水电费、邮电费、交通费、差旅费、会议费、福利费、物业管理费、日常维修费、一般购置费等。</w:t>
      </w:r>
    </w:p>
    <w:p w:rsidR="00E6724A" w:rsidRDefault="00E6724A">
      <w:pPr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2.</w:t>
      </w:r>
      <w:r>
        <w:rPr>
          <w:rFonts w:ascii="仿宋" w:eastAsia="仿宋" w:hAnsi="仿宋" w:hint="eastAsia"/>
          <w:sz w:val="32"/>
          <w:szCs w:val="32"/>
        </w:rPr>
        <w:t>一般行政管理项目支出，包括招待费、会议费、购置费（包括设备、计算机等）、专用材料费、干部培训费、信息网络运行维护费等用于一般行政管理事务方面的项目支出。</w:t>
      </w:r>
    </w:p>
    <w:p w:rsidR="00E6724A" w:rsidRDefault="00E6724A" w:rsidP="00BF27F5">
      <w:pPr>
        <w:ind w:firstLineChars="196" w:firstLine="3168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七、政府采购情况说明</w:t>
      </w:r>
    </w:p>
    <w:p w:rsidR="00E6724A" w:rsidRDefault="00E6724A" w:rsidP="00BF27F5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截至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日，朗县商务局没有进行过政府采购。</w:t>
      </w:r>
    </w:p>
    <w:p w:rsidR="00E6724A" w:rsidRDefault="00E6724A" w:rsidP="00BF27F5">
      <w:pPr>
        <w:spacing w:line="220" w:lineRule="atLeast"/>
        <w:ind w:firstLineChars="200" w:firstLine="31680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八、国有资产占有使用情况</w:t>
      </w:r>
    </w:p>
    <w:p w:rsidR="00E6724A" w:rsidRDefault="00E6724A" w:rsidP="00BF27F5">
      <w:pPr>
        <w:spacing w:line="220" w:lineRule="atLeast"/>
        <w:ind w:firstLineChars="200" w:firstLine="316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朗县商务局没有公共用车、大型设备。</w:t>
      </w:r>
    </w:p>
    <w:p w:rsidR="00E6724A" w:rsidRDefault="00E6724A" w:rsidP="00BF27F5">
      <w:pPr>
        <w:numPr>
          <w:ilvl w:val="0"/>
          <w:numId w:val="2"/>
        </w:numPr>
        <w:spacing w:line="220" w:lineRule="atLeast"/>
        <w:ind w:firstLineChars="200" w:firstLine="31680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重点、重大项目评价结果等预算绩效管理工作开展情况说明。</w:t>
      </w:r>
    </w:p>
    <w:p w:rsidR="00E6724A" w:rsidRDefault="00E6724A">
      <w:pPr>
        <w:spacing w:line="220" w:lineRule="atLeas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没有重大项目建设，没有开展预算绩效评价工作。</w:t>
      </w:r>
      <w:bookmarkStart w:id="0" w:name="_GoBack"/>
      <w:bookmarkEnd w:id="0"/>
    </w:p>
    <w:p w:rsidR="00E6724A" w:rsidRDefault="00E6724A">
      <w:pPr>
        <w:spacing w:line="220" w:lineRule="atLeast"/>
        <w:rPr>
          <w:rFonts w:ascii="仿宋" w:eastAsia="仿宋" w:hAnsi="仿宋" w:cs="仿宋"/>
          <w:color w:val="000000"/>
          <w:sz w:val="32"/>
          <w:szCs w:val="32"/>
        </w:rPr>
      </w:pPr>
    </w:p>
    <w:p w:rsidR="00E6724A" w:rsidRDefault="00E6724A">
      <w:pPr>
        <w:spacing w:line="220" w:lineRule="atLeast"/>
        <w:rPr>
          <w:rFonts w:ascii="仿宋" w:eastAsia="仿宋" w:hAnsi="仿宋" w:cs="仿宋"/>
          <w:color w:val="000000"/>
          <w:sz w:val="32"/>
          <w:szCs w:val="32"/>
        </w:rPr>
      </w:pPr>
    </w:p>
    <w:p w:rsidR="00E6724A" w:rsidRDefault="00E6724A">
      <w:pPr>
        <w:numPr>
          <w:ilvl w:val="0"/>
          <w:numId w:val="3"/>
        </w:numPr>
        <w:spacing w:line="220" w:lineRule="atLeast"/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名词解释</w:t>
      </w:r>
    </w:p>
    <w:p w:rsidR="00E6724A" w:rsidRDefault="00E6724A" w:rsidP="00BF27F5">
      <w:pPr>
        <w:numPr>
          <w:ilvl w:val="0"/>
          <w:numId w:val="4"/>
        </w:numPr>
        <w:ind w:firstLineChars="200" w:firstLine="316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财政拨款收入，指中央财政当年拨付的资金。</w:t>
      </w:r>
    </w:p>
    <w:p w:rsidR="00E6724A" w:rsidRDefault="00E6724A" w:rsidP="00BF27F5">
      <w:pPr>
        <w:numPr>
          <w:ilvl w:val="0"/>
          <w:numId w:val="4"/>
        </w:numPr>
        <w:ind w:firstLineChars="200" w:firstLine="316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其他收入，指上述“财政拨款收入”以外的收入，主要是按规定动用的售房收入，存款利息收入等。</w:t>
      </w:r>
    </w:p>
    <w:p w:rsidR="00E6724A" w:rsidRDefault="00E6724A" w:rsidP="00E44D15">
      <w:pPr>
        <w:numPr>
          <w:ilvl w:val="0"/>
          <w:numId w:val="4"/>
        </w:numPr>
        <w:ind w:firstLineChars="200" w:firstLine="316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上年结转，指以前年度尚未完成、结转到本年度仍按原规定用途继续使用的资金。</w:t>
      </w:r>
    </w:p>
    <w:sectPr w:rsidR="00E6724A" w:rsidSect="00013AF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4A" w:rsidRDefault="00E6724A" w:rsidP="00013AF6">
      <w:pPr>
        <w:spacing w:after="0"/>
      </w:pPr>
      <w:r>
        <w:separator/>
      </w:r>
    </w:p>
  </w:endnote>
  <w:endnote w:type="continuationSeparator" w:id="0">
    <w:p w:rsidR="00E6724A" w:rsidRDefault="00E6724A" w:rsidP="00013A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简体">
    <w:altName w:val="仿宋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4A" w:rsidRDefault="00E6724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E6724A" w:rsidRDefault="00E6724A">
                <w:pPr>
                  <w:rPr>
                    <w:sz w:val="18"/>
                  </w:rPr>
                </w:pPr>
                <w:fldSimple w:instr=" PAGE  \* MERGEFORMAT ">
                  <w:r w:rsidRPr="00BF27F5">
                    <w:rPr>
                      <w:noProof/>
                      <w:sz w:val="18"/>
                    </w:rPr>
                    <w:t>9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4A" w:rsidRDefault="00E6724A" w:rsidP="00013AF6">
      <w:pPr>
        <w:spacing w:after="0"/>
      </w:pPr>
      <w:r>
        <w:separator/>
      </w:r>
    </w:p>
  </w:footnote>
  <w:footnote w:type="continuationSeparator" w:id="0">
    <w:p w:rsidR="00E6724A" w:rsidRDefault="00E6724A" w:rsidP="00013A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C8DD7E"/>
    <w:multiLevelType w:val="singleLevel"/>
    <w:tmpl w:val="DAC8DD7E"/>
    <w:lvl w:ilvl="0">
      <w:start w:val="9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0136C2B2"/>
    <w:multiLevelType w:val="singleLevel"/>
    <w:tmpl w:val="0136C2B2"/>
    <w:lvl w:ilvl="0">
      <w:start w:val="4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193757AF"/>
    <w:multiLevelType w:val="singleLevel"/>
    <w:tmpl w:val="193757AF"/>
    <w:lvl w:ilvl="0">
      <w:start w:val="4"/>
      <w:numFmt w:val="chineseCounting"/>
      <w:suff w:val="space"/>
      <w:lvlText w:val="第%1部分"/>
      <w:lvlJc w:val="left"/>
      <w:rPr>
        <w:rFonts w:cs="Times New Roman" w:hint="eastAsia"/>
      </w:rPr>
    </w:lvl>
  </w:abstractNum>
  <w:abstractNum w:abstractNumId="3">
    <w:nsid w:val="71A68515"/>
    <w:multiLevelType w:val="singleLevel"/>
    <w:tmpl w:val="71A68515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3AF6"/>
    <w:rsid w:val="00037FB6"/>
    <w:rsid w:val="00323B43"/>
    <w:rsid w:val="003D37D8"/>
    <w:rsid w:val="00426133"/>
    <w:rsid w:val="004358AB"/>
    <w:rsid w:val="008B7726"/>
    <w:rsid w:val="00A2482B"/>
    <w:rsid w:val="00BF27F5"/>
    <w:rsid w:val="00D31D50"/>
    <w:rsid w:val="00E44D15"/>
    <w:rsid w:val="00E6724A"/>
    <w:rsid w:val="00F37952"/>
    <w:rsid w:val="01373F97"/>
    <w:rsid w:val="033E075E"/>
    <w:rsid w:val="037C7DF3"/>
    <w:rsid w:val="05591AC0"/>
    <w:rsid w:val="0682759F"/>
    <w:rsid w:val="0CD12AA4"/>
    <w:rsid w:val="105B079D"/>
    <w:rsid w:val="16470F52"/>
    <w:rsid w:val="2187293D"/>
    <w:rsid w:val="22B868D6"/>
    <w:rsid w:val="24104EC3"/>
    <w:rsid w:val="24322AC8"/>
    <w:rsid w:val="24FC7DD4"/>
    <w:rsid w:val="269E56DB"/>
    <w:rsid w:val="2F66500F"/>
    <w:rsid w:val="32893333"/>
    <w:rsid w:val="36B72C32"/>
    <w:rsid w:val="39FA3BE2"/>
    <w:rsid w:val="3D6F2FB8"/>
    <w:rsid w:val="426B01EA"/>
    <w:rsid w:val="443C4CD0"/>
    <w:rsid w:val="46040FC3"/>
    <w:rsid w:val="4A1706D7"/>
    <w:rsid w:val="4A755FFB"/>
    <w:rsid w:val="4C5F7D0F"/>
    <w:rsid w:val="4CDF1545"/>
    <w:rsid w:val="506B412D"/>
    <w:rsid w:val="51130223"/>
    <w:rsid w:val="513F7194"/>
    <w:rsid w:val="55D423B1"/>
    <w:rsid w:val="5616549E"/>
    <w:rsid w:val="5BDF2D76"/>
    <w:rsid w:val="5BE138A2"/>
    <w:rsid w:val="692D7572"/>
    <w:rsid w:val="694713A8"/>
    <w:rsid w:val="6A9B7F4D"/>
    <w:rsid w:val="6C2116D3"/>
    <w:rsid w:val="6D6073BE"/>
    <w:rsid w:val="6D896055"/>
    <w:rsid w:val="7D2366A0"/>
    <w:rsid w:val="7D695460"/>
    <w:rsid w:val="7F4A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F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3AF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77DE"/>
    <w:rPr>
      <w:rFonts w:ascii="Tahoma" w:eastAsia="微软雅黑" w:hAnsi="Tahoma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013A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77DE"/>
    <w:rPr>
      <w:rFonts w:ascii="Tahoma" w:eastAsia="微软雅黑" w:hAnsi="Tahoma"/>
      <w:kern w:val="0"/>
      <w:sz w:val="18"/>
      <w:szCs w:val="18"/>
    </w:rPr>
  </w:style>
  <w:style w:type="character" w:styleId="PageNumber">
    <w:name w:val="page number"/>
    <w:basedOn w:val="DefaultParagraphFont"/>
    <w:uiPriority w:val="99"/>
    <w:rsid w:val="00013AF6"/>
    <w:rPr>
      <w:rFonts w:cs="Times New Roman"/>
    </w:rPr>
  </w:style>
  <w:style w:type="character" w:customStyle="1" w:styleId="contentcss1">
    <w:name w:val="contentcss1"/>
    <w:basedOn w:val="DefaultParagraphFont"/>
    <w:uiPriority w:val="99"/>
    <w:rsid w:val="00013A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10</Pages>
  <Words>478</Words>
  <Characters>2726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3</cp:revision>
  <cp:lastPrinted>2019-08-29T02:00:00Z</cp:lastPrinted>
  <dcterms:created xsi:type="dcterms:W3CDTF">2008-09-11T17:20:00Z</dcterms:created>
  <dcterms:modified xsi:type="dcterms:W3CDTF">2019-08-29T04:06:00Z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