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42242F">
      <w:pPr>
        <w:pStyle w:val="2"/>
        <w:bidi w:val="0"/>
        <w:rPr>
          <w:rFonts w:hint="eastAsia"/>
        </w:rPr>
      </w:pPr>
      <w:r>
        <w:rPr>
          <w:rFonts w:hint="eastAsia"/>
        </w:rPr>
        <w:t>关于规范市场监督管理行政处罚裁量权</w:t>
      </w:r>
    </w:p>
    <w:p w14:paraId="0136D890">
      <w:pPr>
        <w:pStyle w:val="2"/>
        <w:bidi w:val="0"/>
        <w:rPr>
          <w:rFonts w:hint="eastAsia"/>
        </w:rPr>
      </w:pPr>
      <w:bookmarkStart w:id="0" w:name="_GoBack"/>
      <w:r>
        <w:rPr>
          <w:rFonts w:hint="eastAsia"/>
        </w:rPr>
        <w:t>的指导意见</w:t>
      </w:r>
      <w:bookmarkEnd w:id="0"/>
    </w:p>
    <w:p w14:paraId="643211DB">
      <w:pPr>
        <w:rPr>
          <w:rFonts w:hint="eastAsia"/>
        </w:rPr>
      </w:pPr>
    </w:p>
    <w:p w14:paraId="2931446A">
      <w:pPr>
        <w:rPr>
          <w:rFonts w:hint="eastAsia"/>
        </w:rPr>
      </w:pPr>
      <w:r>
        <w:rPr>
          <w:rFonts w:hint="eastAsia" w:ascii="黑体" w:hAnsi="黑体" w:eastAsia="黑体" w:cs="黑体"/>
        </w:rPr>
        <w:t>第一条</w:t>
      </w:r>
      <w:r>
        <w:rPr>
          <w:rFonts w:hint="eastAsia"/>
        </w:rPr>
        <w:t xml:space="preserve"> 为了规范市场监督管理行政处罚行为，保障市场监管部门依法行使行政处罚裁量权，保护自然人、法人和其他组织的合法权益，根据《中华人民共和国行政处罚法》等法律、法规、规章和国家有关规定，结合市场监管工作实际，制定本意见。</w:t>
      </w:r>
    </w:p>
    <w:p w14:paraId="678DE7BE">
      <w:pPr>
        <w:rPr>
          <w:rFonts w:hint="eastAsia"/>
        </w:rPr>
      </w:pPr>
      <w:r>
        <w:rPr>
          <w:rFonts w:hint="eastAsia" w:ascii="黑体" w:hAnsi="黑体" w:eastAsia="黑体" w:cs="黑体"/>
        </w:rPr>
        <w:t>第二条</w:t>
      </w:r>
      <w:r>
        <w:rPr>
          <w:rFonts w:hint="eastAsia"/>
        </w:rPr>
        <w:t xml:space="preserve">  本意见所称行政处罚裁量权，是指各级市场监管部门在实施行政处罚时，根据法律、法规、规章的规定，综合考虑违法行为的事实、性质、情节、社会危害程度以及当事人主观过错等因素，决定是否给予行政处罚、给予行政处罚的种类和幅度的权限。</w:t>
      </w:r>
    </w:p>
    <w:p w14:paraId="4E81F556">
      <w:pPr>
        <w:rPr>
          <w:rFonts w:hint="eastAsia"/>
        </w:rPr>
      </w:pPr>
      <w:r>
        <w:rPr>
          <w:rFonts w:hint="eastAsia" w:ascii="黑体" w:hAnsi="黑体" w:eastAsia="黑体" w:cs="黑体"/>
        </w:rPr>
        <w:t xml:space="preserve">第三条 </w:t>
      </w:r>
      <w:r>
        <w:rPr>
          <w:rFonts w:hint="eastAsia"/>
        </w:rPr>
        <w:t>市场监管部门行使行政处罚裁量权，应当坚持以下原则：</w:t>
      </w:r>
    </w:p>
    <w:p w14:paraId="6173B57F">
      <w:pPr>
        <w:rPr>
          <w:rFonts w:hint="eastAsia"/>
        </w:rPr>
      </w:pPr>
      <w:r>
        <w:rPr>
          <w:rFonts w:hint="eastAsia"/>
        </w:rPr>
        <w:t>（一）合法原则。依据法定权限，符合法律、法规、规章规定的裁量条件、处罚种类和幅度，遵守法定程序。</w:t>
      </w:r>
    </w:p>
    <w:p w14:paraId="59D73617">
      <w:pPr>
        <w:rPr>
          <w:rFonts w:hint="eastAsia"/>
        </w:rPr>
      </w:pPr>
      <w:r>
        <w:rPr>
          <w:rFonts w:hint="eastAsia"/>
        </w:rPr>
        <w:t>（二）过罚相当原则。以事实为依据，处罚的种类和幅度与违法行为的事实、性质、情节、社会危害程度等相当。</w:t>
      </w:r>
    </w:p>
    <w:p w14:paraId="203CD95A">
      <w:pPr>
        <w:rPr>
          <w:rFonts w:hint="eastAsia"/>
        </w:rPr>
      </w:pPr>
      <w:r>
        <w:rPr>
          <w:rFonts w:hint="eastAsia"/>
        </w:rPr>
        <w:t>（三）公平公正原则。对违法事实、性质、情节、社会危害程度等基本相同的违法行为实施行政处罚时，适用的法律依据、处罚种类和幅度基本一致。</w:t>
      </w:r>
    </w:p>
    <w:p w14:paraId="46420C74">
      <w:pPr>
        <w:rPr>
          <w:rFonts w:hint="eastAsia"/>
        </w:rPr>
      </w:pPr>
      <w:r>
        <w:rPr>
          <w:rFonts w:hint="eastAsia"/>
        </w:rPr>
        <w:t>（四）处罚和教育相结合原则。兼顾纠正违法行为和教育当事人，引导当事人自觉守法。</w:t>
      </w:r>
    </w:p>
    <w:p w14:paraId="1C0F5A30">
      <w:pPr>
        <w:rPr>
          <w:rFonts w:hint="eastAsia"/>
        </w:rPr>
      </w:pPr>
      <w:r>
        <w:rPr>
          <w:rFonts w:hint="eastAsia"/>
        </w:rPr>
        <w:t>（五）综合裁量原则。综合考虑个案情况，兼顾地区经济社会发展状况、当事人主客观情况等相关因素，实现政治效果、社会效果、法律效果的统一。</w:t>
      </w:r>
    </w:p>
    <w:p w14:paraId="2449938C">
      <w:pPr>
        <w:rPr>
          <w:rFonts w:hint="eastAsia"/>
        </w:rPr>
      </w:pPr>
      <w:r>
        <w:rPr>
          <w:rFonts w:hint="eastAsia" w:ascii="黑体" w:hAnsi="黑体" w:eastAsia="黑体" w:cs="黑体"/>
        </w:rPr>
        <w:t>第四条</w:t>
      </w:r>
      <w:r>
        <w:rPr>
          <w:rFonts w:hint="eastAsia"/>
        </w:rPr>
        <w:t xml:space="preserve"> 省级和设区的市级市场监管部门可以参照本意见，结合地区实际制定行政处罚裁量权基准。</w:t>
      </w:r>
    </w:p>
    <w:p w14:paraId="6A23F51C">
      <w:pPr>
        <w:rPr>
          <w:rFonts w:hint="eastAsia"/>
        </w:rPr>
      </w:pPr>
      <w:r>
        <w:rPr>
          <w:rFonts w:hint="eastAsia"/>
        </w:rPr>
        <w:t>县级市场监管部门可以在法定范围内，对上级市场监管部门制定的行政处罚裁量权基准适用的标准、条件、种类、幅度、方式、时限予以合理细化量化。</w:t>
      </w:r>
    </w:p>
    <w:p w14:paraId="7280D629">
      <w:pPr>
        <w:rPr>
          <w:rFonts w:hint="eastAsia"/>
        </w:rPr>
      </w:pPr>
      <w:r>
        <w:rPr>
          <w:rFonts w:hint="eastAsia" w:ascii="黑体" w:hAnsi="黑体" w:eastAsia="黑体" w:cs="黑体"/>
        </w:rPr>
        <w:t>第五条</w:t>
      </w:r>
      <w:r>
        <w:rPr>
          <w:rFonts w:hint="eastAsia"/>
        </w:rPr>
        <w:t xml:space="preserve"> 对同一行政处罚事项，上级市场监管部门已经制定行政处罚裁量权基准的，下级市场监管部门原则上应当直接适用；如下级市场监管部门不能直接适用，可以结合地区经济社会发展状况，在法律、法规、规章规定的行政处罚裁量权范围内进行合理细化量化，但不能超出上级市场监管部门划定的阶次或者幅度。</w:t>
      </w:r>
    </w:p>
    <w:p w14:paraId="77BDE74B">
      <w:pPr>
        <w:rPr>
          <w:rFonts w:hint="eastAsia"/>
        </w:rPr>
      </w:pPr>
      <w:r>
        <w:rPr>
          <w:rFonts w:hint="eastAsia"/>
        </w:rPr>
        <w:t>下级市场监管部门制定的行政处罚裁量权基准与上级市场监管部门制定的行政处罚裁量权基准冲突的，应当适用上级市场监管部门制定的行政处罚裁量权基准。</w:t>
      </w:r>
    </w:p>
    <w:p w14:paraId="21E5E2A5">
      <w:pPr>
        <w:rPr>
          <w:rFonts w:hint="eastAsia"/>
        </w:rPr>
      </w:pPr>
      <w:r>
        <w:rPr>
          <w:rFonts w:hint="eastAsia" w:ascii="黑体" w:hAnsi="黑体" w:eastAsia="黑体" w:cs="黑体"/>
        </w:rPr>
        <w:t>第六条</w:t>
      </w:r>
      <w:r>
        <w:rPr>
          <w:rFonts w:hint="eastAsia"/>
        </w:rPr>
        <w:t xml:space="preserve"> 行政处罚裁量权基准应当包括违法行为、法定依据、裁量阶次、适用条件和具体标准等内容。</w:t>
      </w:r>
    </w:p>
    <w:p w14:paraId="3F476A07">
      <w:pPr>
        <w:rPr>
          <w:rFonts w:hint="eastAsia"/>
        </w:rPr>
      </w:pPr>
      <w:r>
        <w:rPr>
          <w:rFonts w:hint="eastAsia"/>
        </w:rPr>
        <w:t>制定行政处罚裁量权基准，应当对以下内容进行细化和量化：</w:t>
      </w:r>
    </w:p>
    <w:p w14:paraId="19A4A2EF">
      <w:pPr>
        <w:rPr>
          <w:rFonts w:hint="eastAsia"/>
        </w:rPr>
      </w:pPr>
      <w:r>
        <w:rPr>
          <w:rFonts w:hint="eastAsia"/>
        </w:rPr>
        <w:t>（一）法律、法规、规章规定可以选择决定是否给予行政处罚的，明确是否给予处罚的具体情形；</w:t>
      </w:r>
    </w:p>
    <w:p w14:paraId="4D8DF6CE">
      <w:pPr>
        <w:rPr>
          <w:rFonts w:hint="eastAsia"/>
        </w:rPr>
      </w:pPr>
      <w:r>
        <w:rPr>
          <w:rFonts w:hint="eastAsia"/>
        </w:rPr>
        <w:t>（二）法律、法规、规章规定可以选择行政处罚种类的，明确适用不同处罚种类的具体情形；</w:t>
      </w:r>
    </w:p>
    <w:p w14:paraId="5721AD71">
      <w:pPr>
        <w:rPr>
          <w:rFonts w:hint="eastAsia"/>
        </w:rPr>
      </w:pPr>
      <w:r>
        <w:rPr>
          <w:rFonts w:hint="eastAsia"/>
        </w:rPr>
        <w:t>（三）法律、法规、规章规定可以选择行政处罚幅度的，明确划分易于操作的裁量阶次，并确定适用不同阶次的具体情形；</w:t>
      </w:r>
    </w:p>
    <w:p w14:paraId="508974C4">
      <w:pPr>
        <w:rPr>
          <w:rFonts w:hint="eastAsia"/>
        </w:rPr>
      </w:pPr>
      <w:r>
        <w:rPr>
          <w:rFonts w:hint="eastAsia"/>
        </w:rPr>
        <w:t>（四）法律、法规、规章规定可以单处或者并处行政处罚的，明确规定单处或者并处行政处罚的具体情形；</w:t>
      </w:r>
    </w:p>
    <w:p w14:paraId="2951C5E4">
      <w:pPr>
        <w:rPr>
          <w:rFonts w:hint="eastAsia"/>
        </w:rPr>
      </w:pPr>
      <w:r>
        <w:rPr>
          <w:rFonts w:hint="eastAsia"/>
        </w:rPr>
        <w:t>（五）需要在法定处罚种类或者幅度以下减轻行政处罚的，应当在严格评估后明确具体情形、适用条件和处罚标准。</w:t>
      </w:r>
    </w:p>
    <w:p w14:paraId="166BD6F3">
      <w:pPr>
        <w:rPr>
          <w:rFonts w:hint="eastAsia"/>
        </w:rPr>
      </w:pPr>
      <w:r>
        <w:rPr>
          <w:rFonts w:hint="eastAsia" w:ascii="黑体" w:hAnsi="黑体" w:eastAsia="黑体" w:cs="黑体"/>
        </w:rPr>
        <w:t>第七条</w:t>
      </w:r>
      <w:r>
        <w:rPr>
          <w:rFonts w:hint="eastAsia"/>
        </w:rPr>
        <w:t xml:space="preserve"> 市场监管部门实施行政处罚应当以法律、法规、规章为依据。有行政处罚裁量权基准的，应当在行政处罚决定书中对行政处罚裁量权基准的适用情况予以明确。</w:t>
      </w:r>
    </w:p>
    <w:p w14:paraId="31D3ABDB">
      <w:pPr>
        <w:rPr>
          <w:rFonts w:hint="eastAsia"/>
        </w:rPr>
      </w:pPr>
      <w:r>
        <w:rPr>
          <w:rFonts w:hint="eastAsia" w:ascii="黑体" w:hAnsi="黑体" w:eastAsia="黑体" w:cs="黑体"/>
        </w:rPr>
        <w:t xml:space="preserve">第八条 </w:t>
      </w:r>
      <w:r>
        <w:rPr>
          <w:rFonts w:hint="eastAsia"/>
        </w:rPr>
        <w:t>市场监管部门实施行政处罚，适用本部门制定的行政处罚裁量权基准可能出现明显不当、显失公平，或者行政处罚裁量权基准适用的客观情况发生变化的，经本部门主要负责人批准或者集体讨论通过后可以调整适用，批准材料或者集体讨论记录应列入处罚案卷归档保存。</w:t>
      </w:r>
    </w:p>
    <w:p w14:paraId="5EFCE4F8">
      <w:pPr>
        <w:rPr>
          <w:rFonts w:hint="eastAsia"/>
        </w:rPr>
      </w:pPr>
      <w:r>
        <w:rPr>
          <w:rFonts w:hint="eastAsia"/>
        </w:rPr>
        <w:t>适用上级市场监管部门制定的行政处罚裁量权基准可能出现前款情形的，逐级报请该基准制定部门批准后，可以调整适用。</w:t>
      </w:r>
    </w:p>
    <w:p w14:paraId="53934EBD">
      <w:pPr>
        <w:rPr>
          <w:rFonts w:hint="eastAsia"/>
        </w:rPr>
      </w:pPr>
      <w:r>
        <w:rPr>
          <w:rFonts w:hint="eastAsia" w:ascii="黑体" w:hAnsi="黑体" w:eastAsia="黑体" w:cs="黑体"/>
        </w:rPr>
        <w:t xml:space="preserve">第九条 </w:t>
      </w:r>
      <w:r>
        <w:rPr>
          <w:rFonts w:hint="eastAsia"/>
        </w:rPr>
        <w:t>建立行政处罚裁量权基准动态调整机制，行政处罚裁量权基准所依据的法律、法规、规章作出修改，或者客观情况发生重大变化的，及时进行调整。</w:t>
      </w:r>
    </w:p>
    <w:p w14:paraId="355A17B7">
      <w:pPr>
        <w:rPr>
          <w:rFonts w:hint="eastAsia"/>
        </w:rPr>
      </w:pPr>
      <w:r>
        <w:rPr>
          <w:rFonts w:hint="eastAsia" w:ascii="黑体" w:hAnsi="黑体" w:eastAsia="黑体" w:cs="黑体"/>
        </w:rPr>
        <w:t>第十条</w:t>
      </w:r>
      <w:r>
        <w:rPr>
          <w:rFonts w:hint="eastAsia"/>
        </w:rPr>
        <w:t xml:space="preserve"> 本意见中下列用语的含义如下：</w:t>
      </w:r>
    </w:p>
    <w:p w14:paraId="467AD573">
      <w:pPr>
        <w:rPr>
          <w:rFonts w:hint="eastAsia"/>
        </w:rPr>
      </w:pPr>
      <w:r>
        <w:rPr>
          <w:rFonts w:hint="eastAsia"/>
        </w:rPr>
        <w:t>（一）不予行政处罚是指因法定原因对特定违法行为不给予行政处罚。</w:t>
      </w:r>
    </w:p>
    <w:p w14:paraId="5A50AA6D">
      <w:pPr>
        <w:rPr>
          <w:rFonts w:hint="eastAsia"/>
        </w:rPr>
      </w:pPr>
      <w:r>
        <w:rPr>
          <w:rFonts w:hint="eastAsia"/>
        </w:rPr>
        <w:t>（二）减轻行政处罚是指适用法定行政处罚最低限度以下的处罚种类或处罚幅度。包括在违法行为应当受到的一种或者几种处罚种类之外选择更轻的处罚种类，或者在应当并处时不并处，也包括在法定最低罚款限值以下确定罚款数额。</w:t>
      </w:r>
    </w:p>
    <w:p w14:paraId="5B75798E">
      <w:pPr>
        <w:rPr>
          <w:rFonts w:hint="eastAsia"/>
        </w:rPr>
      </w:pPr>
      <w:r>
        <w:rPr>
          <w:rFonts w:hint="eastAsia"/>
        </w:rPr>
        <w:t>（三）从轻行政处罚是指在依法可以选择的处罚种类和处罚幅度内，适用较轻、较少的处罚种类或者较低的处罚幅度。其中，罚款的数额应当在从最低限到最高限这一幅度中较低的30%部分。</w:t>
      </w:r>
    </w:p>
    <w:p w14:paraId="5A0DD773">
      <w:pPr>
        <w:rPr>
          <w:rFonts w:hint="eastAsia"/>
        </w:rPr>
      </w:pPr>
      <w:r>
        <w:rPr>
          <w:rFonts w:hint="eastAsia"/>
        </w:rPr>
        <w:t>（四）从重行政处罚是指在依法可以选择的处罚种类和处罚幅度内，适用较重、较多的处罚种类或者较高的处罚幅度。其中，罚款的数额应当在从最低限到最高限这一幅度中较高的30%部分。</w:t>
      </w:r>
    </w:p>
    <w:p w14:paraId="697B6DC7">
      <w:pPr>
        <w:rPr>
          <w:rFonts w:hint="eastAsia"/>
        </w:rPr>
      </w:pPr>
      <w:r>
        <w:rPr>
          <w:rFonts w:hint="eastAsia" w:ascii="黑体" w:hAnsi="黑体" w:eastAsia="黑体" w:cs="黑体"/>
        </w:rPr>
        <w:t xml:space="preserve">第十一条 </w:t>
      </w:r>
      <w:r>
        <w:rPr>
          <w:rFonts w:hint="eastAsia"/>
        </w:rPr>
        <w:t>有下列情形之一的，应当依法不予行政处罚：</w:t>
      </w:r>
    </w:p>
    <w:p w14:paraId="36BB6901">
      <w:pPr>
        <w:rPr>
          <w:rFonts w:hint="eastAsia"/>
        </w:rPr>
      </w:pPr>
      <w:r>
        <w:rPr>
          <w:rFonts w:hint="eastAsia"/>
        </w:rPr>
        <w:t>（一）不满十四周岁的未成年人有违法行为的；</w:t>
      </w:r>
    </w:p>
    <w:p w14:paraId="51C5C299">
      <w:pPr>
        <w:rPr>
          <w:rFonts w:hint="eastAsia"/>
        </w:rPr>
      </w:pPr>
      <w:r>
        <w:rPr>
          <w:rFonts w:hint="eastAsia"/>
        </w:rPr>
        <w:t>（二）精神病人、智力残疾人在不能辨认或者不能控制自己行为时有违法行为的；</w:t>
      </w:r>
    </w:p>
    <w:p w14:paraId="10F6C0A1">
      <w:pPr>
        <w:rPr>
          <w:rFonts w:hint="eastAsia"/>
        </w:rPr>
      </w:pPr>
      <w:r>
        <w:rPr>
          <w:rFonts w:hint="eastAsia"/>
        </w:rPr>
        <w:t>（三）违法行为轻微并及时改正，没有造成危害后果的；</w:t>
      </w:r>
    </w:p>
    <w:p w14:paraId="30AF0BA9">
      <w:pPr>
        <w:rPr>
          <w:rFonts w:hint="eastAsia"/>
        </w:rPr>
      </w:pPr>
      <w:r>
        <w:rPr>
          <w:rFonts w:hint="eastAsia"/>
        </w:rPr>
        <w:t>（四）除法律、行政法规另有规定外，当事人有证据足以证明没有主观过错的；</w:t>
      </w:r>
    </w:p>
    <w:p w14:paraId="38625F27">
      <w:pPr>
        <w:rPr>
          <w:rFonts w:hint="eastAsia"/>
        </w:rPr>
      </w:pPr>
      <w:r>
        <w:rPr>
          <w:rFonts w:hint="eastAsia"/>
        </w:rPr>
        <w:t>（五）除法律另有规定外，涉及公民生命健康安全、金融安全且有危害后果的违法行为在五年内未被发现的，其他违法行为在二年内未被发现的；</w:t>
      </w:r>
    </w:p>
    <w:p w14:paraId="1B8FA4D2">
      <w:pPr>
        <w:rPr>
          <w:rFonts w:hint="eastAsia"/>
        </w:rPr>
      </w:pPr>
      <w:r>
        <w:rPr>
          <w:rFonts w:hint="eastAsia"/>
        </w:rPr>
        <w:t>（六）其他依法应当不予行政处罚的。</w:t>
      </w:r>
    </w:p>
    <w:p w14:paraId="1B932B06">
      <w:pPr>
        <w:rPr>
          <w:rFonts w:hint="eastAsia"/>
        </w:rPr>
      </w:pPr>
      <w:r>
        <w:rPr>
          <w:rFonts w:hint="eastAsia" w:ascii="黑体" w:hAnsi="黑体" w:eastAsia="黑体" w:cs="黑体"/>
        </w:rPr>
        <w:t xml:space="preserve">第十二条 </w:t>
      </w:r>
      <w:r>
        <w:rPr>
          <w:rFonts w:hint="eastAsia"/>
        </w:rPr>
        <w:t>初次违法且危害后果轻微并及时改正的，可以不予行政处罚。</w:t>
      </w:r>
    </w:p>
    <w:p w14:paraId="404846EB">
      <w:pPr>
        <w:rPr>
          <w:rFonts w:hint="eastAsia"/>
        </w:rPr>
      </w:pPr>
      <w:r>
        <w:rPr>
          <w:rFonts w:hint="eastAsia"/>
        </w:rPr>
        <w:t>市场监管部门可以依照有关规定制定轻微违法行为依法免予处罚清单并进行动态调整。</w:t>
      </w:r>
    </w:p>
    <w:p w14:paraId="6655684A">
      <w:pPr>
        <w:rPr>
          <w:rFonts w:hint="eastAsia"/>
        </w:rPr>
      </w:pPr>
      <w:r>
        <w:rPr>
          <w:rFonts w:hint="eastAsia" w:ascii="黑体" w:hAnsi="黑体" w:eastAsia="黑体" w:cs="黑体"/>
        </w:rPr>
        <w:t>第十三条</w:t>
      </w:r>
      <w:r>
        <w:rPr>
          <w:rFonts w:hint="eastAsia"/>
        </w:rPr>
        <w:t xml:space="preserve"> 有下列情形之一的，应当依法从轻或者减轻行政处罚：</w:t>
      </w:r>
    </w:p>
    <w:p w14:paraId="719648EB">
      <w:pPr>
        <w:rPr>
          <w:rFonts w:hint="eastAsia"/>
        </w:rPr>
      </w:pPr>
      <w:r>
        <w:rPr>
          <w:rFonts w:hint="eastAsia"/>
        </w:rPr>
        <w:t>（一）已满十四周岁不满十八周岁的未成年人有违法行为的；</w:t>
      </w:r>
    </w:p>
    <w:p w14:paraId="4DA127E8">
      <w:pPr>
        <w:rPr>
          <w:rFonts w:hint="eastAsia"/>
        </w:rPr>
      </w:pPr>
      <w:r>
        <w:rPr>
          <w:rFonts w:hint="eastAsia"/>
        </w:rPr>
        <w:t>（二）主动消除或者减轻违法行为危害后果的；</w:t>
      </w:r>
    </w:p>
    <w:p w14:paraId="6F32B1A3">
      <w:pPr>
        <w:rPr>
          <w:rFonts w:hint="eastAsia"/>
        </w:rPr>
      </w:pPr>
      <w:r>
        <w:rPr>
          <w:rFonts w:hint="eastAsia"/>
        </w:rPr>
        <w:t>（三）受他人胁迫或者诱骗实施违法行为的；</w:t>
      </w:r>
    </w:p>
    <w:p w14:paraId="584A0F07">
      <w:pPr>
        <w:rPr>
          <w:rFonts w:hint="eastAsia"/>
        </w:rPr>
      </w:pPr>
      <w:r>
        <w:rPr>
          <w:rFonts w:hint="eastAsia"/>
        </w:rPr>
        <w:t>（四）主动供述市场监管部门尚未掌握的违法行为的；</w:t>
      </w:r>
    </w:p>
    <w:p w14:paraId="32C9E050">
      <w:pPr>
        <w:rPr>
          <w:rFonts w:hint="eastAsia"/>
        </w:rPr>
      </w:pPr>
      <w:r>
        <w:rPr>
          <w:rFonts w:hint="eastAsia"/>
        </w:rPr>
        <w:t>（五）配合市场监管部门查处违法行为有立功表现的，包括但不限于当事人揭发市场监管领域其他重大违法行为或者提供查处市场监管领域其他重大违法行为的关键线索或证据，并经查证属实的；</w:t>
      </w:r>
    </w:p>
    <w:p w14:paraId="51B42428">
      <w:pPr>
        <w:rPr>
          <w:rFonts w:hint="eastAsia"/>
        </w:rPr>
      </w:pPr>
      <w:r>
        <w:rPr>
          <w:rFonts w:hint="eastAsia"/>
        </w:rPr>
        <w:t>（六）其他依法应当从轻或者减轻行政处罚的。</w:t>
      </w:r>
    </w:p>
    <w:p w14:paraId="79EC68D8">
      <w:pPr>
        <w:rPr>
          <w:rFonts w:hint="eastAsia"/>
        </w:rPr>
      </w:pPr>
      <w:r>
        <w:rPr>
          <w:rFonts w:hint="eastAsia" w:ascii="黑体" w:hAnsi="黑体" w:eastAsia="黑体" w:cs="黑体"/>
        </w:rPr>
        <w:t>第十四条</w:t>
      </w:r>
      <w:r>
        <w:rPr>
          <w:rFonts w:hint="eastAsia"/>
        </w:rPr>
        <w:t xml:space="preserve"> 有下列情形之一的，可以依法从轻或者减轻行政处罚：</w:t>
      </w:r>
    </w:p>
    <w:p w14:paraId="5FBB2EBA">
      <w:pPr>
        <w:rPr>
          <w:rFonts w:hint="eastAsia"/>
        </w:rPr>
      </w:pPr>
      <w:r>
        <w:rPr>
          <w:rFonts w:hint="eastAsia"/>
        </w:rPr>
        <w:t>（一）尚未完全丧失辨认或者控制自己行为能力的精神病人、智力残疾人有违法行为的；</w:t>
      </w:r>
    </w:p>
    <w:p w14:paraId="01AE15A7">
      <w:pPr>
        <w:rPr>
          <w:rFonts w:hint="eastAsia"/>
        </w:rPr>
      </w:pPr>
      <w:r>
        <w:rPr>
          <w:rFonts w:hint="eastAsia"/>
        </w:rPr>
        <w:t>（二）积极配合市场监管部门调查并主动提供证据材料的；</w:t>
      </w:r>
    </w:p>
    <w:p w14:paraId="1CF4E89D">
      <w:pPr>
        <w:rPr>
          <w:rFonts w:hint="eastAsia"/>
        </w:rPr>
      </w:pPr>
      <w:r>
        <w:rPr>
          <w:rFonts w:hint="eastAsia"/>
        </w:rPr>
        <w:t>（三）违法行为轻微，社会危害性较小的；</w:t>
      </w:r>
    </w:p>
    <w:p w14:paraId="677978DC">
      <w:pPr>
        <w:rPr>
          <w:rFonts w:hint="eastAsia"/>
        </w:rPr>
      </w:pPr>
      <w:r>
        <w:rPr>
          <w:rFonts w:hint="eastAsia"/>
        </w:rPr>
        <w:t>（四）在共同违法行为中起次要或者辅助作用的；</w:t>
      </w:r>
    </w:p>
    <w:p w14:paraId="10702DFE">
      <w:pPr>
        <w:rPr>
          <w:rFonts w:hint="eastAsia"/>
        </w:rPr>
      </w:pPr>
      <w:r>
        <w:rPr>
          <w:rFonts w:hint="eastAsia"/>
        </w:rPr>
        <w:t>（五）当事人因残疾或者重大疾病等原因生活确有困难的；</w:t>
      </w:r>
    </w:p>
    <w:p w14:paraId="1BB88500">
      <w:pPr>
        <w:rPr>
          <w:rFonts w:hint="eastAsia"/>
        </w:rPr>
      </w:pPr>
      <w:r>
        <w:rPr>
          <w:rFonts w:hint="eastAsia"/>
        </w:rPr>
        <w:t>（六）其他依法可以从轻或者减轻行政处罚的。</w:t>
      </w:r>
    </w:p>
    <w:p w14:paraId="133854C4">
      <w:pPr>
        <w:rPr>
          <w:rFonts w:hint="eastAsia"/>
        </w:rPr>
      </w:pPr>
      <w:r>
        <w:rPr>
          <w:rFonts w:hint="eastAsia" w:ascii="黑体" w:hAnsi="黑体" w:eastAsia="黑体" w:cs="黑体"/>
        </w:rPr>
        <w:t>第十五条</w:t>
      </w:r>
      <w:r>
        <w:rPr>
          <w:rFonts w:hint="eastAsia"/>
        </w:rPr>
        <w:t xml:space="preserve"> 有下列情形之一的，应当依法从重行政处罚：</w:t>
      </w:r>
    </w:p>
    <w:p w14:paraId="498C59B3">
      <w:pPr>
        <w:rPr>
          <w:rFonts w:hint="eastAsia"/>
        </w:rPr>
      </w:pPr>
      <w:r>
        <w:rPr>
          <w:rFonts w:hint="eastAsia"/>
        </w:rPr>
        <w:t>（一）在重大传染病疫情等突发事件期间，有违反突发事件应对措施行为的；</w:t>
      </w:r>
    </w:p>
    <w:p w14:paraId="36C72DDB">
      <w:pPr>
        <w:rPr>
          <w:rFonts w:hint="eastAsia"/>
        </w:rPr>
      </w:pPr>
      <w:r>
        <w:rPr>
          <w:rFonts w:hint="eastAsia"/>
        </w:rPr>
        <w:t>（二）其他依法应当从重行政处罚的。</w:t>
      </w:r>
    </w:p>
    <w:p w14:paraId="1F0844CD">
      <w:pPr>
        <w:rPr>
          <w:rFonts w:hint="eastAsia"/>
        </w:rPr>
      </w:pPr>
      <w:r>
        <w:rPr>
          <w:rFonts w:hint="eastAsia" w:ascii="黑体" w:hAnsi="黑体" w:eastAsia="黑体" w:cs="黑体"/>
        </w:rPr>
        <w:t xml:space="preserve">第十六条 </w:t>
      </w:r>
      <w:r>
        <w:rPr>
          <w:rFonts w:hint="eastAsia"/>
        </w:rPr>
        <w:t>有下列情形之一的，可以依法从重行政处罚：</w:t>
      </w:r>
    </w:p>
    <w:p w14:paraId="32C50DA2">
      <w:pPr>
        <w:rPr>
          <w:rFonts w:hint="eastAsia"/>
        </w:rPr>
      </w:pPr>
      <w:r>
        <w:rPr>
          <w:rFonts w:hint="eastAsia"/>
        </w:rPr>
        <w:t>（一）违法行为造成他人人身伤亡或者重大财产损失等严重危害后果的；</w:t>
      </w:r>
    </w:p>
    <w:p w14:paraId="690C3BD5">
      <w:pPr>
        <w:rPr>
          <w:rFonts w:hint="eastAsia"/>
        </w:rPr>
      </w:pPr>
      <w:r>
        <w:rPr>
          <w:rFonts w:hint="eastAsia"/>
        </w:rPr>
        <w:t>（二）教唆、胁迫、诱骗他人实施违法行为的；</w:t>
      </w:r>
    </w:p>
    <w:p w14:paraId="04CC606C">
      <w:pPr>
        <w:rPr>
          <w:rFonts w:hint="eastAsia"/>
        </w:rPr>
      </w:pPr>
      <w:r>
        <w:rPr>
          <w:rFonts w:hint="eastAsia"/>
        </w:rPr>
        <w:t>（三）因同一性质的违法行为受过刑事处罚，或者一年内因同一性质的违法行为受过行政处罚的；</w:t>
      </w:r>
    </w:p>
    <w:p w14:paraId="0337DC51">
      <w:pPr>
        <w:rPr>
          <w:rFonts w:hint="eastAsia"/>
        </w:rPr>
      </w:pPr>
      <w:r>
        <w:rPr>
          <w:rFonts w:hint="eastAsia"/>
        </w:rPr>
        <w:t>（四）阻碍或者拒不配合行政执法人员依法执行职务或者对行政执法人员打击报复的；</w:t>
      </w:r>
    </w:p>
    <w:p w14:paraId="458E7F17">
      <w:pPr>
        <w:rPr>
          <w:rFonts w:hint="eastAsia"/>
        </w:rPr>
      </w:pPr>
      <w:r>
        <w:rPr>
          <w:rFonts w:hint="eastAsia"/>
        </w:rPr>
        <w:t>（五）隐藏、转移、损毁、使用、处置市场监管部门依法查封、扣押的财物或者先行登记保存的证据的；</w:t>
      </w:r>
    </w:p>
    <w:p w14:paraId="18BA8C66">
      <w:pPr>
        <w:rPr>
          <w:rFonts w:hint="eastAsia"/>
        </w:rPr>
      </w:pPr>
      <w:r>
        <w:rPr>
          <w:rFonts w:hint="eastAsia"/>
        </w:rPr>
        <w:t>（六）伪造、隐匿、毁灭证据的；</w:t>
      </w:r>
    </w:p>
    <w:p w14:paraId="0A54EF10">
      <w:pPr>
        <w:rPr>
          <w:rFonts w:hint="eastAsia"/>
        </w:rPr>
      </w:pPr>
      <w:r>
        <w:rPr>
          <w:rFonts w:hint="eastAsia"/>
        </w:rPr>
        <w:t>（七）其他依法可以从重行政处罚的。</w:t>
      </w:r>
    </w:p>
    <w:p w14:paraId="4432BA0C">
      <w:pPr>
        <w:rPr>
          <w:rFonts w:hint="eastAsia"/>
        </w:rPr>
      </w:pPr>
      <w:r>
        <w:rPr>
          <w:rFonts w:hint="eastAsia"/>
        </w:rPr>
        <w:t>当事人因前款第四至六项所涉行为已被行政处罚的，该行为不再作为从重行政处罚情节。</w:t>
      </w:r>
    </w:p>
    <w:p w14:paraId="0B5258FF">
      <w:pPr>
        <w:rPr>
          <w:rFonts w:hint="eastAsia"/>
        </w:rPr>
      </w:pPr>
      <w:r>
        <w:rPr>
          <w:rFonts w:hint="eastAsia" w:ascii="黑体" w:hAnsi="黑体" w:eastAsia="黑体" w:cs="黑体"/>
        </w:rPr>
        <w:t>第十七条</w:t>
      </w:r>
      <w:r>
        <w:rPr>
          <w:rFonts w:hint="eastAsia"/>
        </w:rPr>
        <w:t xml:space="preserve"> 当事人既有从轻或者减轻行政处罚情节，又有从重行政处罚情节的，市场监管部门应当结合案件情况综合考虑后作出裁量决定。</w:t>
      </w:r>
    </w:p>
    <w:p w14:paraId="07A202E7">
      <w:pPr>
        <w:rPr>
          <w:rFonts w:hint="eastAsia"/>
        </w:rPr>
      </w:pPr>
      <w:r>
        <w:rPr>
          <w:rFonts w:hint="eastAsia" w:ascii="黑体" w:hAnsi="黑体" w:eastAsia="黑体" w:cs="黑体"/>
        </w:rPr>
        <w:t>第十八条</w:t>
      </w:r>
      <w:r>
        <w:rPr>
          <w:rFonts w:hint="eastAsia"/>
        </w:rPr>
        <w:t xml:space="preserve"> 市场监管部门制定的行政处罚裁量权基准应当主动向社会公开。</w:t>
      </w:r>
    </w:p>
    <w:p w14:paraId="739A5877">
      <w:pPr>
        <w:rPr>
          <w:rFonts w:hint="eastAsia"/>
        </w:rPr>
      </w:pPr>
      <w:r>
        <w:rPr>
          <w:rFonts w:hint="eastAsia" w:ascii="黑体" w:hAnsi="黑体" w:eastAsia="黑体" w:cs="黑体"/>
        </w:rPr>
        <w:t>第十九条</w:t>
      </w:r>
      <w:r>
        <w:rPr>
          <w:rFonts w:hint="eastAsia" w:ascii="仿宋" w:hAnsi="仿宋" w:eastAsia="仿宋" w:cs="仿宋"/>
        </w:rPr>
        <w:t xml:space="preserve"> 市场监管部门应当按照《市场监督管理执法监督暂行规定》（市场监管总局令第22</w:t>
      </w:r>
      <w:r>
        <w:rPr>
          <w:rFonts w:hint="eastAsia"/>
        </w:rPr>
        <w:t>号）的要求，加强对行政处罚裁量权基准制度执行情况的监督检查。</w:t>
      </w:r>
    </w:p>
    <w:p w14:paraId="4D4EEC32">
      <w:pPr>
        <w:rPr>
          <w:rFonts w:hint="eastAsia"/>
        </w:rPr>
      </w:pPr>
      <w:r>
        <w:rPr>
          <w:rFonts w:hint="eastAsia" w:ascii="黑体" w:hAnsi="黑体" w:eastAsia="黑体" w:cs="黑体"/>
        </w:rPr>
        <w:t xml:space="preserve">第二十条 </w:t>
      </w:r>
      <w:r>
        <w:rPr>
          <w:rFonts w:hint="eastAsia"/>
        </w:rPr>
        <w:t>本意见自发布之日起实施。《市场监管总局关于规范市场监督管</w:t>
      </w:r>
      <w:r>
        <w:rPr>
          <w:rFonts w:hint="eastAsia" w:ascii="仿宋" w:hAnsi="仿宋" w:eastAsia="仿宋" w:cs="仿宋"/>
        </w:rPr>
        <w:t>理行政处罚裁量权的指导意见》（国市监法〔2019〕244号）同时废</w:t>
      </w:r>
      <w:r>
        <w:rPr>
          <w:rFonts w:hint="eastAsia"/>
        </w:rPr>
        <w:t>止。</w:t>
      </w:r>
    </w:p>
    <w:p w14:paraId="5CA1788B">
      <w:pPr>
        <w:rPr>
          <w:rFonts w:hint="eastAsia"/>
        </w:rPr>
      </w:pPr>
    </w:p>
    <w:p w14:paraId="4C1D48F1"/>
    <w:sectPr>
      <w:type w:val="continuous"/>
      <w:pgSz w:w="11900" w:h="16838"/>
      <w:pgMar w:top="2098" w:right="1474" w:bottom="1984" w:left="1587" w:header="0" w:footer="1689" w:gutter="0"/>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iconfont">
    <w:altName w:val="Segoe Print"/>
    <w:panose1 w:val="00000000000000000000"/>
    <w:charset w:val="00"/>
    <w:family w:val="auto"/>
    <w:pitch w:val="default"/>
    <w:sig w:usb0="00000000" w:usb1="00000000" w:usb2="00000000" w:usb3="00000000" w:csb0="00000000" w:csb1="00000000"/>
  </w:font>
  <w:font w:name="layui-ico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93654A"/>
    <w:rsid w:val="003805AA"/>
    <w:rsid w:val="03C31E7A"/>
    <w:rsid w:val="03E71F77"/>
    <w:rsid w:val="06466042"/>
    <w:rsid w:val="067F27E8"/>
    <w:rsid w:val="08004BA9"/>
    <w:rsid w:val="080327DE"/>
    <w:rsid w:val="09402C02"/>
    <w:rsid w:val="09412072"/>
    <w:rsid w:val="0B0218E7"/>
    <w:rsid w:val="0B6C55A0"/>
    <w:rsid w:val="0B7B037A"/>
    <w:rsid w:val="0CC00288"/>
    <w:rsid w:val="0CCA3EC1"/>
    <w:rsid w:val="0D7A67F4"/>
    <w:rsid w:val="102D2A63"/>
    <w:rsid w:val="10CD1A0C"/>
    <w:rsid w:val="110753D1"/>
    <w:rsid w:val="11AA2AC9"/>
    <w:rsid w:val="14DA06DD"/>
    <w:rsid w:val="16BC2315"/>
    <w:rsid w:val="19ED324D"/>
    <w:rsid w:val="1A4E609D"/>
    <w:rsid w:val="1CB753A9"/>
    <w:rsid w:val="1E2C0942"/>
    <w:rsid w:val="22477621"/>
    <w:rsid w:val="25355DBF"/>
    <w:rsid w:val="25C64276"/>
    <w:rsid w:val="279B1EF6"/>
    <w:rsid w:val="29D80931"/>
    <w:rsid w:val="2A2C7AAA"/>
    <w:rsid w:val="2B002D1A"/>
    <w:rsid w:val="2B865C0E"/>
    <w:rsid w:val="2E2C317C"/>
    <w:rsid w:val="2E924303"/>
    <w:rsid w:val="2EF5101A"/>
    <w:rsid w:val="3087322F"/>
    <w:rsid w:val="33B56529"/>
    <w:rsid w:val="34347EF5"/>
    <w:rsid w:val="35A75844"/>
    <w:rsid w:val="362A4EEC"/>
    <w:rsid w:val="37C019FD"/>
    <w:rsid w:val="37E62A4D"/>
    <w:rsid w:val="386F1C17"/>
    <w:rsid w:val="38E16362"/>
    <w:rsid w:val="395D368A"/>
    <w:rsid w:val="39BD5CE7"/>
    <w:rsid w:val="3A685187"/>
    <w:rsid w:val="3C32558B"/>
    <w:rsid w:val="3CFD38E6"/>
    <w:rsid w:val="3DCF0D27"/>
    <w:rsid w:val="4015327D"/>
    <w:rsid w:val="40237806"/>
    <w:rsid w:val="4293654A"/>
    <w:rsid w:val="42CB6BAE"/>
    <w:rsid w:val="470947AC"/>
    <w:rsid w:val="48E406B6"/>
    <w:rsid w:val="494F1A93"/>
    <w:rsid w:val="4BC5089B"/>
    <w:rsid w:val="4D9C71B6"/>
    <w:rsid w:val="4E9B0373"/>
    <w:rsid w:val="4F6939F7"/>
    <w:rsid w:val="50196719"/>
    <w:rsid w:val="50A66503"/>
    <w:rsid w:val="50BD05F6"/>
    <w:rsid w:val="51690F2C"/>
    <w:rsid w:val="52C54F5B"/>
    <w:rsid w:val="5372794A"/>
    <w:rsid w:val="53EE17D8"/>
    <w:rsid w:val="544128FA"/>
    <w:rsid w:val="558E4C86"/>
    <w:rsid w:val="5598547B"/>
    <w:rsid w:val="5618315D"/>
    <w:rsid w:val="563105B1"/>
    <w:rsid w:val="56355BD3"/>
    <w:rsid w:val="58E2376A"/>
    <w:rsid w:val="59F8249B"/>
    <w:rsid w:val="5CF05124"/>
    <w:rsid w:val="5ECB47F8"/>
    <w:rsid w:val="5F8C17FF"/>
    <w:rsid w:val="5F8D08F9"/>
    <w:rsid w:val="608705F4"/>
    <w:rsid w:val="61D51374"/>
    <w:rsid w:val="622E64B3"/>
    <w:rsid w:val="62C634BE"/>
    <w:rsid w:val="66196791"/>
    <w:rsid w:val="695E1378"/>
    <w:rsid w:val="6BE923DC"/>
    <w:rsid w:val="6CCF2537"/>
    <w:rsid w:val="6D38773A"/>
    <w:rsid w:val="6D765EFE"/>
    <w:rsid w:val="6E675BF9"/>
    <w:rsid w:val="7049506C"/>
    <w:rsid w:val="72B43DE5"/>
    <w:rsid w:val="72B80E7E"/>
    <w:rsid w:val="737C73D1"/>
    <w:rsid w:val="75F2341E"/>
    <w:rsid w:val="76122370"/>
    <w:rsid w:val="79D114DA"/>
    <w:rsid w:val="7A594551"/>
    <w:rsid w:val="7B4349B5"/>
    <w:rsid w:val="7B480BB0"/>
    <w:rsid w:val="7B821819"/>
    <w:rsid w:val="7C0B5D89"/>
    <w:rsid w:val="7E402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6" w:lineRule="exact"/>
      <w:ind w:firstLine="880" w:firstLineChars="200"/>
      <w:jc w:val="both"/>
    </w:pPr>
    <w:rPr>
      <w:rFonts w:ascii="Times New Roman" w:hAnsi="Times New Roman" w:eastAsia="仿宋" w:cstheme="minorBidi"/>
      <w:kern w:val="2"/>
      <w:sz w:val="32"/>
      <w:szCs w:val="22"/>
      <w:lang w:val="en-US" w:eastAsia="zh-CN" w:bidi="ar-SA"/>
    </w:rPr>
  </w:style>
  <w:style w:type="paragraph" w:styleId="2">
    <w:name w:val="heading 1"/>
    <w:basedOn w:val="1"/>
    <w:next w:val="1"/>
    <w:link w:val="12"/>
    <w:qFormat/>
    <w:uiPriority w:val="0"/>
    <w:pPr>
      <w:spacing w:before="0" w:beforeAutospacing="0" w:after="0" w:afterAutospacing="0"/>
      <w:ind w:firstLine="0" w:firstLineChars="0"/>
      <w:jc w:val="center"/>
      <w:outlineLvl w:val="0"/>
    </w:pPr>
    <w:rPr>
      <w:rFonts w:hint="eastAsia" w:ascii="宋体" w:hAnsi="宋体" w:eastAsia="方正小标宋简体" w:cs="宋体"/>
      <w:bCs/>
      <w:kern w:val="44"/>
      <w:sz w:val="44"/>
      <w:szCs w:val="48"/>
      <w:lang w:bidi="ar"/>
    </w:rPr>
  </w:style>
  <w:style w:type="paragraph" w:styleId="3">
    <w:name w:val="heading 2"/>
    <w:basedOn w:val="1"/>
    <w:next w:val="1"/>
    <w:link w:val="11"/>
    <w:semiHidden/>
    <w:unhideWhenUsed/>
    <w:qFormat/>
    <w:uiPriority w:val="0"/>
    <w:pPr>
      <w:keepNext/>
      <w:keepLines/>
      <w:spacing w:beforeLines="0" w:beforeAutospacing="0" w:afterLines="0" w:afterAutospacing="0" w:line="576" w:lineRule="exact"/>
      <w:ind w:firstLine="1280" w:firstLineChars="200"/>
      <w:jc w:val="both"/>
      <w:outlineLvl w:val="1"/>
    </w:pPr>
    <w:rPr>
      <w:rFonts w:ascii="Arial" w:hAnsi="Arial" w:eastAsia="黑体" w:cs="Times New Roman"/>
      <w:sz w:val="32"/>
    </w:rPr>
  </w:style>
  <w:style w:type="paragraph" w:styleId="4">
    <w:name w:val="heading 3"/>
    <w:basedOn w:val="1"/>
    <w:next w:val="1"/>
    <w:link w:val="10"/>
    <w:semiHidden/>
    <w:unhideWhenUsed/>
    <w:qFormat/>
    <w:uiPriority w:val="0"/>
    <w:pPr>
      <w:keepNext/>
      <w:keepLines/>
      <w:spacing w:beforeLines="0" w:beforeAutospacing="0" w:afterLines="0" w:afterAutospacing="0" w:line="560" w:lineRule="exact"/>
      <w:ind w:firstLine="0" w:firstLineChars="0"/>
      <w:jc w:val="center"/>
      <w:outlineLvl w:val="2"/>
    </w:pPr>
    <w:rPr>
      <w:rFonts w:eastAsia="楷体" w:asciiTheme="minorAscii" w:hAnsiTheme="minorAscii"/>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afterLines="0" w:afterAutospacing="0"/>
    </w:pPr>
  </w:style>
  <w:style w:type="paragraph" w:styleId="6">
    <w:name w:val="Body Text Indent"/>
    <w:basedOn w:val="1"/>
    <w:qFormat/>
    <w:uiPriority w:val="0"/>
    <w:pPr>
      <w:spacing w:after="120" w:afterLines="0" w:afterAutospacing="0"/>
      <w:ind w:left="420" w:leftChars="200"/>
    </w:pPr>
  </w:style>
  <w:style w:type="paragraph" w:styleId="7">
    <w:name w:val="Body Text First Indent 2"/>
    <w:basedOn w:val="6"/>
    <w:autoRedefine/>
    <w:qFormat/>
    <w:uiPriority w:val="0"/>
    <w:pPr>
      <w:ind w:firstLine="420" w:firstLineChars="200"/>
    </w:pPr>
  </w:style>
  <w:style w:type="character" w:customStyle="1" w:styleId="10">
    <w:name w:val="标题 3 Char"/>
    <w:link w:val="4"/>
    <w:autoRedefine/>
    <w:qFormat/>
    <w:uiPriority w:val="0"/>
    <w:rPr>
      <w:rFonts w:eastAsia="楷体"/>
      <w:sz w:val="32"/>
    </w:rPr>
  </w:style>
  <w:style w:type="character" w:customStyle="1" w:styleId="11">
    <w:name w:val="标题 2 Char"/>
    <w:link w:val="3"/>
    <w:autoRedefine/>
    <w:qFormat/>
    <w:uiPriority w:val="0"/>
    <w:rPr>
      <w:rFonts w:ascii="Arial" w:hAnsi="Arial" w:eastAsia="黑体" w:cs="Times New Roman"/>
      <w:sz w:val="32"/>
      <w:szCs w:val="22"/>
    </w:rPr>
  </w:style>
  <w:style w:type="character" w:customStyle="1" w:styleId="12">
    <w:name w:val="标题 1 Char"/>
    <w:link w:val="2"/>
    <w:autoRedefine/>
    <w:qFormat/>
    <w:uiPriority w:val="0"/>
    <w:rPr>
      <w:rFonts w:ascii="宋体" w:hAnsi="宋体" w:eastAsia="方正小标宋简体" w:cs="宋体"/>
      <w:kern w:val="44"/>
      <w:sz w:val="4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43</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2025-04-14T10:51:00Z</dcterms:created>
  <dc:creator>安達魯西亞</dc:creator>
  <cp:lastModifiedBy>安達魯西亞</cp:lastModifiedBy>
  <dcterms:modified xsi:type="dcterms:W3CDTF">2025-04-14T10:53:50Z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D7F9867E9CE14F47BF443E8CB0DFBBFF_11</vt:lpwstr>
  </property>
  <property fmtid="{D5CDD505-2E9C-101B-9397-08002B2CF9AE}" pid="4" name="KSOTemplateDocerSaveRecord">
    <vt:lpwstr>eyJoZGlkIjoiYzdkMDA4NzFkZTA4ZjE3YTc5NDJkODI2ZGYxODI1NTAiLCJ1c2VySWQiOiI0ODc1NDQ1NzEifQ==</vt:lpwstr>
  </property>
</Properties>
</file>