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8C4C9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朗县教育局行政裁量权基准制度</w:t>
      </w:r>
    </w:p>
    <w:p w14:paraId="6B445467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5D6FD5D1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第一章总则</w:t>
      </w:r>
    </w:p>
    <w:p w14:paraId="36813FB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第一条 为规范朗县教育局教育行政执法行为，严格约束行政处罚、行政检查、行政许可等行政裁量权，杜绝执法随意性，保障县域公办幼儿园、义务教育学校、教职工、学生及办学主体合法权益，推进边境县域教育依法行政、依法治教，依据《中华人民共和国行政处罚法》《中华人民共和国教育法》《中华人民共和国义务教育法》《西藏自治区规范行政执法裁量权规定》《西藏自治区教育行政处罚裁量基准适用规定》等法律法规，结合朗县边境教育工作实际，制定本制度。</w:t>
      </w:r>
    </w:p>
    <w:p w14:paraId="48DBA8A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第二条本制度适用于朗县教育局机关各业务科室、全局所有持有行政执法证件工作人员开展教育行政执法活动，涵盖行政处罚、行政许可、行政检查、责令整改、行政告诫等所有存在裁量空间的行政行为。</w:t>
      </w:r>
    </w:p>
    <w:p w14:paraId="6A1C9CA7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制度所称行政裁量权，是指本局在法定职权范围内，依据法律法规规章，结合违法事实、情节、危害程度、边境治理实际，自主判定是否实施行政行为、选择行为种类、确定处理幅度的权限；行政裁量基准为细化、量化后的标准化执法标尺，全局执法必须严格参照执行。</w:t>
      </w:r>
    </w:p>
    <w:p w14:paraId="309F683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第三条 行使行政裁量权坚守六大基本原则</w:t>
      </w:r>
    </w:p>
    <w:p w14:paraId="0849EDAD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（一）合法法定原则：</w:t>
      </w:r>
      <w:r>
        <w:rPr>
          <w:rFonts w:hint="eastAsia" w:ascii="仿宋_GB2312" w:hAnsi="仿宋_GB2312" w:eastAsia="仿宋_GB2312" w:cs="仿宋_GB2312"/>
          <w:sz w:val="32"/>
          <w:szCs w:val="32"/>
        </w:rPr>
        <w:t>所有裁量行为不得超越法定权限、法定种类、法定幅度，严格遵守法定程序，不得增设、缩减当事人法定权利义务。</w:t>
      </w:r>
    </w:p>
    <w:p w14:paraId="7750B9E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（二）过罚相当原则：</w:t>
      </w:r>
      <w:r>
        <w:rPr>
          <w:rFonts w:hint="eastAsia" w:ascii="仿宋_GB2312" w:hAnsi="仿宋_GB2312" w:eastAsia="仿宋_GB2312" w:cs="仿宋_GB2312"/>
          <w:sz w:val="32"/>
          <w:szCs w:val="32"/>
        </w:rPr>
        <w:t>裁量结果与违法行为事实、性质、情节、边境社会危害程度匹配，轻重适度，杜绝畸轻畸重。</w:t>
      </w:r>
    </w:p>
    <w:p w14:paraId="02D86DB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（三）公平公正公开原则：</w:t>
      </w:r>
      <w:r>
        <w:rPr>
          <w:rFonts w:hint="eastAsia" w:ascii="仿宋_GB2312" w:hAnsi="仿宋_GB2312" w:eastAsia="仿宋_GB2312" w:cs="仿宋_GB2312"/>
          <w:sz w:val="32"/>
          <w:szCs w:val="32"/>
        </w:rPr>
        <w:t>同类违法情形统一裁量标准，同等情况同等处置；裁量基准、执法流程、处罚结果依法公示，接受师生、群众监督。</w:t>
      </w:r>
    </w:p>
    <w:p w14:paraId="7DAF5CBE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（四）处罚与教育相结合原则：</w:t>
      </w:r>
      <w:r>
        <w:rPr>
          <w:rFonts w:hint="eastAsia" w:ascii="仿宋_GB2312" w:hAnsi="仿宋_GB2312" w:eastAsia="仿宋_GB2312" w:cs="仿宋_GB2312"/>
          <w:sz w:val="32"/>
          <w:szCs w:val="32"/>
        </w:rPr>
        <w:t>立足立德树人、边境稳边育人，优先劝导教育、限期整改，轻微违法行为以纠偏为主，审慎使用处罚手段。</w:t>
      </w:r>
    </w:p>
    <w:p w14:paraId="45B8287D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（五）综合裁量原则：</w:t>
      </w:r>
      <w:r>
        <w:rPr>
          <w:rFonts w:hint="eastAsia" w:ascii="仿宋_GB2312" w:hAnsi="仿宋_GB2312" w:eastAsia="仿宋_GB2312" w:cs="仿宋_GB2312"/>
          <w:sz w:val="32"/>
          <w:szCs w:val="32"/>
        </w:rPr>
        <w:t>结合朗县边境县域特点，兼顾民族团结、校园安全、控辍保学、乡村公办办学薄弱等本地实际综合判定。</w:t>
      </w:r>
    </w:p>
    <w:p w14:paraId="514E8F96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（六）程序正当原则：</w:t>
      </w:r>
      <w:r>
        <w:rPr>
          <w:rFonts w:hint="eastAsia" w:ascii="仿宋_GB2312" w:hAnsi="仿宋_GB2312" w:eastAsia="仿宋_GB2312" w:cs="仿宋_GB2312"/>
          <w:sz w:val="32"/>
          <w:szCs w:val="32"/>
        </w:rPr>
        <w:t>调查取证、告知陈述申辩、听证、送达、复核流程完整，充分保障当事人陈述、申辩、申请听证、行政复议、行政诉讼权利。</w:t>
      </w:r>
    </w:p>
    <w:p w14:paraId="1CF8E8C9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第四条局政策法规岗为本局裁量权管理专职岗位，统筹裁量基准动态更新、执法案卷审核、裁量行为监督、业务培训；各业务科室落实一线裁量执行主体责任；局党组、纪检组履行全局裁量权监督执纪职责。</w:t>
      </w:r>
    </w:p>
    <w:p w14:paraId="619E7EB3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第二章裁量综合考量因素</w:t>
      </w:r>
    </w:p>
    <w:p w14:paraId="3AD42646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第五条作出裁量决定前，必须全面核查、综合考量以下要素，并完整记入执法案卷：</w:t>
      </w:r>
    </w:p>
    <w:p w14:paraId="4835D5E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1.违法行为发生方式、持续时长、覆盖范围（是否涉及边境校园、少数民族学生群体）；</w:t>
      </w:r>
    </w:p>
    <w:p w14:paraId="10C6514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2.违法金额、违规办学规模、受侵害师生人数；</w:t>
      </w:r>
    </w:p>
    <w:p w14:paraId="5C27020D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3.当事人主观过错：故意、过失、受胁迫、不知情；</w:t>
      </w:r>
    </w:p>
    <w:p w14:paraId="10D32D47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4.危害后果：是否造成学生人身伤害、校园安全隐患、边境教育舆情、民族团结负面影响；</w:t>
      </w:r>
    </w:p>
    <w:p w14:paraId="3BE3BEB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5.整改配合情况：是否主动停止违法、消除隐患、退还违规资金、提交整改方案、按期完成整改；</w:t>
      </w:r>
    </w:p>
    <w:p w14:paraId="395A373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6.违法频次：初次违法、多次重复违法、屡改屡犯；</w:t>
      </w:r>
    </w:p>
    <w:p w14:paraId="5350119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7.当事人身份：公办学校、民办培训机构、教职工、学生、校外第三方机构；</w:t>
      </w:r>
    </w:p>
    <w:p w14:paraId="0063252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8.其他法定特殊情形、边境县域治理相关考量因素。</w:t>
      </w:r>
    </w:p>
    <w:p w14:paraId="0726DB3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第三章裁量阶次适用标准</w:t>
      </w:r>
    </w:p>
    <w:p w14:paraId="63934E6D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第六条依据违法情节轻重，统一划分不予处罚、从轻减轻处罚、一般处罚、从重处罚四类裁量阶次，严格对照西藏自治区教育系统裁量基准配套执行。</w:t>
      </w:r>
    </w:p>
    <w:p w14:paraId="378B0D65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（一）不予处罚适用情形</w:t>
      </w:r>
    </w:p>
    <w:p w14:paraId="494FE2F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1.违法轻微、当场主动整改，未产生任何危害后果；</w:t>
      </w:r>
    </w:p>
    <w:p w14:paraId="3B17E4CE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2.初次轻微违法，及时纠正，无不良影响；</w:t>
      </w:r>
    </w:p>
    <w:p w14:paraId="269F177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3.当事人无主观过错，且能提供完整证据佐证；</w:t>
      </w:r>
    </w:p>
    <w:p w14:paraId="2B42B2F1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4.违法行为超过法定追责时效；</w:t>
      </w:r>
    </w:p>
    <w:p w14:paraId="1A54E977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5.不满14周岁未成年人实施相关违法行为；</w:t>
      </w:r>
    </w:p>
    <w:p w14:paraId="2A0AF88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6.法律法规明确规定不予处罚的其他情形。</w:t>
      </w:r>
    </w:p>
    <w:p w14:paraId="71D3BCC5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不予处罚应当下达《教育行政告诫通知书》，开展法治警示教育，留存整改记录。</w:t>
      </w:r>
    </w:p>
    <w:p w14:paraId="7EC191A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（二）从轻、减轻处罚适用情形</w:t>
      </w:r>
    </w:p>
    <w:p w14:paraId="43F6077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出现下列情形，在法定处罚幅度下限区间作出处理：</w:t>
      </w:r>
    </w:p>
    <w:p w14:paraId="3A6BDBCE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1.已满14不满18周岁未成年人违法；</w:t>
      </w:r>
    </w:p>
    <w:p w14:paraId="46649339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2.主动消除、降低违法行为危害后果；</w:t>
      </w:r>
    </w:p>
    <w:p w14:paraId="4D3F0D5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3.受他人诱导、胁迫实施违法行为；</w:t>
      </w:r>
    </w:p>
    <w:p w14:paraId="11E7782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4.积极配合执法，主动交代未掌握的违法线索；</w:t>
      </w:r>
    </w:p>
    <w:p w14:paraId="5D6F58C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5.主动弥补受损师生、学校经济损失；</w:t>
      </w:r>
    </w:p>
    <w:p w14:paraId="2312A3D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6.边境偏远乡村公办学校因办学条件薄弱产生轻微违规，且立即整改到位。</w:t>
      </w:r>
    </w:p>
    <w:p w14:paraId="10A16683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（三）一般处罚适用情形</w:t>
      </w:r>
    </w:p>
    <w:p w14:paraId="7AF717B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不具备从轻、从重情节，违法事实清晰、危害后果中等，在法定处罚幅度中间区间作出标准处理。</w:t>
      </w:r>
    </w:p>
    <w:p w14:paraId="6DD65CC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（四）从重处罚适用情形，在法定处罚幅度上限区间处置</w:t>
      </w:r>
    </w:p>
    <w:p w14:paraId="7628EEB3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1.多次实施同类教育违法行为，经告诫、整改后再次违规；</w:t>
      </w:r>
    </w:p>
    <w:p w14:paraId="622D51B6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2.违法造成学生人身损害、校园群体性事件、边境负面舆情；</w:t>
      </w:r>
    </w:p>
    <w:p w14:paraId="715A6559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3.隐瞒、销毁证据，阻挠、抗拒、干扰执法人员调查；</w:t>
      </w:r>
    </w:p>
    <w:p w14:paraId="7A354C4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4.侵害少数民族学生、留守儿童、边境困难学生权益；</w:t>
      </w:r>
    </w:p>
    <w:p w14:paraId="52EC540E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5.借违规办学、违规收费牟利，违法所得数额较大；</w:t>
      </w:r>
    </w:p>
    <w:p w14:paraId="3C488B4E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6.胁迫、教唆他人共同实施违法行为；</w:t>
      </w:r>
    </w:p>
    <w:p w14:paraId="176C471E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7.存在校园安全、食品安全、师德师风严重失范等重大隐患。</w:t>
      </w:r>
    </w:p>
    <w:p w14:paraId="54E13F7B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第七条裁量阶次冲突处置：当事人同时具备从轻、从重情节，综合权衡主次情节，合理确定最终裁量档次，案卷中写明权衡理由。</w:t>
      </w:r>
    </w:p>
    <w:p w14:paraId="7A72980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第四章各类行政行为裁量规范</w:t>
      </w:r>
    </w:p>
    <w:p w14:paraId="5F0B43AE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第一节行政处罚裁量规范</w:t>
      </w:r>
    </w:p>
    <w:p w14:paraId="7F4F5037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八条本局教育行政处罚类型严格限定法定范围：警告、罚款、没收违法所得、责令停止招生、撤销办学许可、撤销教师资格、责令限期整改等，所有处罚事项对照《西藏自治区教育行政处罚裁量基准（2023版）》细化标准执行，不得自行创设处罚种类 。</w:t>
      </w:r>
    </w:p>
    <w:p w14:paraId="7F6E316F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第九条 执法人员调查取证完成后，在案件处理意见书中明确载明：认定事实、证据清单、适用法律条款、综合考量要素、选定裁量阶次、基准适用依据；未说明裁量理由的案件，法规岗不予审核通过。</w:t>
      </w:r>
    </w:p>
    <w:p w14:paraId="38C018A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第十条大额罚款、吊销办学许可、撤销教师资格等重大处罚，实行局党组集体讨论制度，完整留存集体讨论记录，方可出具处罚决定书。</w:t>
      </w:r>
    </w:p>
    <w:p w14:paraId="7B1F76A7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第二节行政许可、行政检查裁量规范</w:t>
      </w:r>
    </w:p>
    <w:p w14:paraId="62AC29F6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一条行政许可裁量：办理办学许可、教师资格认定等业务，对材料补正、审核时限、实地核查频次设置统一标准，不得随意增设核查条件、拖延办理时限；对边境乡村办学主体实行包容审慎审查，一次性告知全部补正材料。</w:t>
      </w:r>
    </w:p>
    <w:p w14:paraId="5AB5C08F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二条行政检查裁量：规范校园安全、收费、师德、食堂卫生、“双减”常态化检查频次，避免多头重复检查；对合规办学、零违规记录公办学校减少抽查频次；对存在隐患、投诉较多的单位增加检查力度，检查整改标准统一量化，杜绝随意加码。</w:t>
      </w:r>
    </w:p>
    <w:p w14:paraId="3A048CF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第三节 责令整改、行政告诫裁量规范</w:t>
      </w:r>
    </w:p>
    <w:p w14:paraId="2F9C579D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第十三条下达限期整改文书，必须根据隐患轻重合理设定整改期限：轻微隐患3-7日、一般隐患15日内、重大安全隐患立即停工停学整改，不得无依据无限期整改；整改复查标准书面明确，复查结果记录归档。</w:t>
      </w:r>
    </w:p>
    <w:p w14:paraId="16B9567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第五章裁量权运行程序约束</w:t>
      </w:r>
    </w:p>
    <w:p w14:paraId="59703D8D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第十四条全面落实执法全过程记录制度：文字案卷、现场照片、录音录像同步留存，完整记录裁量全过程；所有对外执法文书必须载明裁量理由及对应基准标准。</w:t>
      </w:r>
    </w:p>
    <w:p w14:paraId="089CEF6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第十五条执法告知制度：作出处罚、整改决定前，书面告知当事人违法事实、法律依据、裁量档次、享有的陈述申辩、听证权利，当事人提出申辩的，必须如实记录并复核，申辩理由成立的应当调整裁量意见。</w:t>
      </w:r>
    </w:p>
    <w:p w14:paraId="5925203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第十六条裁量审核流程：办案人员提出初步裁量意见→业务科室负责人初审→法规岗合法性、裁量标准复核→分管领导审批；重大处罚提交局党组集体审议。</w:t>
      </w:r>
    </w:p>
    <w:p w14:paraId="61AAAE3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第十七条自由裁量说明制度：所有行政处罚决定书、整改通知书中，单独段落写明裁量阶次选择理由，未说明裁量理由的文书不得送达执行。</w:t>
      </w:r>
    </w:p>
    <w:p w14:paraId="1CDC4116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第六章监督与责任追究</w:t>
      </w:r>
    </w:p>
    <w:p w14:paraId="21C1F5EE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第十八条 内部常态化监督</w:t>
      </w:r>
    </w:p>
    <w:p w14:paraId="689BEEA9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1.法规岗每季度开展行政执法案卷评查，重点核查裁量标准适用是否统一、理由是否充分、幅度是否合规，形成评查通报，限期整改案卷问题；</w:t>
      </w:r>
    </w:p>
    <w:p w14:paraId="266A1E0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2.局纪检组不定期抽查执法全过程记录，核查是否存在滥用裁量、选择性执法问题；</w:t>
      </w:r>
    </w:p>
    <w:p w14:paraId="2CD20AA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3.每年组织全局行政执法人员开展裁量基准专项培训、案例研讨。</w:t>
      </w:r>
    </w:p>
    <w:p w14:paraId="21C1E125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第十九条外部监督渠道：通过政务公开栏、县政府门户网站公示本制度及裁量基准；设立投诉举报电话、意见箱，接收学校、师生、群众对不公裁量、随意执法的投诉，收到举报5个工作日内核查反馈。</w:t>
      </w:r>
    </w:p>
    <w:p w14:paraId="5E80850E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第二十条执法过错责任追究</w:t>
      </w:r>
    </w:p>
    <w:p w14:paraId="0C36C04B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行政执法人员有下列滥用、不当行使裁量权情形之一，由局党组批评教育、通报、调离执法岗位；造成不良后果、群众投诉、行政复议撤销、行政诉讼败诉的，依规给予党纪政务处分；涉嫌违法犯罪移交司法机关：</w:t>
      </w:r>
    </w:p>
    <w:p w14:paraId="14EF1F4B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1.不适用本制度及自治区裁量基准，随意选择处罚种类、幅度；</w:t>
      </w:r>
    </w:p>
    <w:p w14:paraId="6C93BCAF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2.同类案件不同裁量标准，显失公平；</w:t>
      </w:r>
    </w:p>
    <w:p w14:paraId="22A93E1F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3.隐瞒、删减违法事实或整改情节，畸轻畸重处置；</w:t>
      </w:r>
    </w:p>
    <w:p w14:paraId="6DD5E3D7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4.未履行告知、听证程序，剥夺当事人法定权利；</w:t>
      </w:r>
    </w:p>
    <w:p w14:paraId="2A129FD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5.收受当事人财物、徇私偏袒，滥用裁量权；</w:t>
      </w:r>
    </w:p>
    <w:p w14:paraId="27DEAF35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6.无正当理由拒不落实案卷评查整改要求。</w:t>
      </w:r>
    </w:p>
    <w:p w14:paraId="1F37657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第七章基准动态管理与附则</w:t>
      </w:r>
    </w:p>
    <w:p w14:paraId="4799FB1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一条裁量基准动态更新：国家、自治区教育法律法规修订后，法规岗30日内完成本局裁量配套标准修订，经局党组审议、向县司法局报备后公示实施；结合朗县边境教育执法新问题，每年年底梳理典型案例，优化细化裁量细则。</w:t>
      </w:r>
    </w:p>
    <w:p w14:paraId="138A646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第二十二条本制度与《西藏自治区教育行政处罚裁量基准适用规定》配套使用，自治区有明确细化标准的，优先执行自治区基准；本地边境特殊情形补充细化条款不得与上级规定冲突。</w:t>
      </w:r>
    </w:p>
    <w:p w14:paraId="5E6C611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第二十三条本制度由朗县教育局政策法规岗负责解释。</w:t>
      </w:r>
    </w:p>
    <w:p w14:paraId="192513B9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第二十四条本制度自印发之日起施行。</w:t>
      </w:r>
    </w:p>
    <w:p w14:paraId="7AF09E67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031DD9E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                      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中共朗县委员会教育工作委员会</w:t>
      </w:r>
    </w:p>
    <w:p w14:paraId="5810772F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                                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朗县教育局</w:t>
      </w:r>
    </w:p>
    <w:p w14:paraId="421EE48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                               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2026年7月20日</w:t>
      </w:r>
    </w:p>
    <w:p w14:paraId="38C58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9240B7"/>
    <w:rsid w:val="5213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3557</Words>
  <Characters>3607</Characters>
  <Lines>0</Lines>
  <Paragraphs>0</Paragraphs>
  <TotalTime>2</TotalTime>
  <ScaleCrop>false</ScaleCrop>
  <LinksUpToDate>false</LinksUpToDate>
  <CharactersWithSpaces>3701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2026-07-30T04:56:00Z</dcterms:created>
  <dc:creator>Lenovo</dc:creator>
  <cp:lastModifiedBy>Lenovo</cp:lastModifiedBy>
  <dcterms:modified xsi:type="dcterms:W3CDTF">2026-07-30T06:29:02Z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eyJoZGlkIjoiYjgyOGQyODI3NTAyMDJjYmRjZmFkZWE1NDI5Y2Q4NDIifQ==</vt:lpwstr>
  </property>
  <property fmtid="{D5CDD505-2E9C-101B-9397-08002B2CF9AE}" pid="4" name="ICV">
    <vt:lpwstr>10A80AA540694D1A8E190C46562BAEC7_12</vt:lpwstr>
  </property>
</Properties>
</file>