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6" w:lineRule="exact"/>
        <w:ind w:left="0" w:firstLine="0"/>
        <w:jc w:val="center"/>
        <w:textAlignment w:val="auto"/>
        <w:rPr>
          <w:rFonts w:hint="eastAsia" w:ascii="方正小标宋简体" w:hAnsi="方正小标宋简体" w:eastAsia="方正小标宋简体" w:cs="方正小标宋简体"/>
          <w:b w:val="0"/>
          <w:bCs w:val="0"/>
          <w:color w:val="000000"/>
          <w:kern w:val="36"/>
          <w:sz w:val="44"/>
          <w:szCs w:val="44"/>
        </w:rPr>
      </w:pPr>
      <w:r>
        <w:rPr>
          <w:rFonts w:hint="eastAsia" w:ascii="方正小标宋简体" w:hAnsi="方正小标宋简体" w:eastAsia="方正小标宋简体" w:cs="方正小标宋简体"/>
          <w:b w:val="0"/>
          <w:bCs w:val="0"/>
          <w:color w:val="000000"/>
          <w:kern w:val="36"/>
          <w:sz w:val="44"/>
          <w:szCs w:val="44"/>
        </w:rPr>
        <w:t>朗县财政局行政裁量权基准</w:t>
      </w:r>
    </w:p>
    <w:p>
      <w:pPr>
        <w:pStyle w:val="3"/>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6" w:lineRule="exact"/>
        <w:ind w:left="0" w:firstLine="0"/>
        <w:jc w:val="both"/>
        <w:textAlignment w:val="auto"/>
        <w:rPr>
          <w:rFonts w:hint="eastAsia" w:ascii="仿宋_GB2312" w:hAnsi="仿宋_GB2312" w:eastAsia="仿宋_GB2312" w:cs="仿宋_GB2312"/>
          <w:b w:val="0"/>
          <w:bCs w:val="0"/>
          <w:color w:val="000000"/>
          <w:sz w:val="32"/>
          <w:szCs w:val="32"/>
        </w:rPr>
      </w:pPr>
    </w:p>
    <w:p>
      <w:pPr>
        <w:pStyle w:val="3"/>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第一章 总则</w:t>
      </w: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Style w:val="7"/>
          <w:rFonts w:hint="eastAsia" w:ascii="仿宋_GB2312" w:hAnsi="仿宋_GB2312" w:eastAsia="仿宋_GB2312" w:cs="仿宋_GB2312"/>
          <w:b w:val="0"/>
          <w:bCs w:val="0"/>
          <w:color w:val="000000"/>
          <w:sz w:val="32"/>
          <w:szCs w:val="32"/>
          <w:shd w:val="clear" w:color="auto" w:fill="auto"/>
        </w:rPr>
        <w:t>第一条</w:t>
      </w:r>
      <w:r>
        <w:rPr>
          <w:rStyle w:val="7"/>
          <w:rFonts w:hint="eastAsia" w:ascii="仿宋_GB2312" w:hAnsi="仿宋_GB2312" w:eastAsia="仿宋_GB2312" w:cs="仿宋_GB2312"/>
          <w:b w:val="0"/>
          <w:bCs w:val="0"/>
          <w:color w:val="000000"/>
          <w:sz w:val="32"/>
          <w:szCs w:val="32"/>
          <w:shd w:val="clear" w:color="auto" w:fill="auto"/>
          <w:lang w:val="en-US" w:eastAsia="zh-CN"/>
        </w:rPr>
        <w:t xml:space="preserve"> </w:t>
      </w:r>
      <w:r>
        <w:rPr>
          <w:rFonts w:hint="eastAsia" w:ascii="仿宋_GB2312" w:hAnsi="仿宋_GB2312" w:eastAsia="仿宋_GB2312" w:cs="仿宋_GB2312"/>
          <w:b w:val="0"/>
          <w:bCs w:val="0"/>
          <w:color w:val="000000"/>
          <w:sz w:val="32"/>
          <w:szCs w:val="32"/>
        </w:rPr>
        <w:t>为规范朗县财政局行政执法行为，细化量化行政裁量标准，压缩自由裁量空间，严格依法理财、依法行政。依据《中华人民共和国行政处罚法》《中华人民共和国预算法》《中华人民共和国政府采购法》《中华人民共和国行政许可法》《财政违法行为处罚处分条例》《国务院办公厅关于进一步规范行政裁量权基准制定和管理工作的意见》（国办发〔2022〕27号）以及自治区关于规范行政裁量权相关工作要求，结合我县财政监管、会计监督、政府采购、票据监管、国有资产管理工作实际，制定本基准。</w:t>
      </w: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Style w:val="7"/>
          <w:rFonts w:hint="eastAsia" w:ascii="仿宋_GB2312" w:hAnsi="仿宋_GB2312" w:eastAsia="仿宋_GB2312" w:cs="仿宋_GB2312"/>
          <w:b w:val="0"/>
          <w:bCs w:val="0"/>
          <w:color w:val="000000"/>
          <w:sz w:val="32"/>
          <w:szCs w:val="32"/>
          <w:shd w:val="clear" w:color="auto" w:fill="auto"/>
        </w:rPr>
        <w:t>第二条</w:t>
      </w:r>
      <w:r>
        <w:rPr>
          <w:rStyle w:val="7"/>
          <w:rFonts w:hint="eastAsia" w:ascii="仿宋_GB2312" w:hAnsi="仿宋_GB2312" w:eastAsia="仿宋_GB2312" w:cs="仿宋_GB2312"/>
          <w:b w:val="0"/>
          <w:bCs w:val="0"/>
          <w:color w:val="000000"/>
          <w:sz w:val="32"/>
          <w:szCs w:val="32"/>
          <w:shd w:val="clear" w:color="auto" w:fill="auto"/>
          <w:lang w:val="en-US" w:eastAsia="zh-CN"/>
        </w:rPr>
        <w:t xml:space="preserve"> </w:t>
      </w:r>
      <w:r>
        <w:rPr>
          <w:rFonts w:hint="eastAsia" w:ascii="仿宋_GB2312" w:hAnsi="仿宋_GB2312" w:eastAsia="仿宋_GB2312" w:cs="仿宋_GB2312"/>
          <w:b w:val="0"/>
          <w:bCs w:val="0"/>
          <w:color w:val="000000"/>
          <w:sz w:val="32"/>
          <w:szCs w:val="32"/>
        </w:rPr>
        <w:t>本基准适用于朗县财政局在本县范围内实施的行政检查、行政监管等行政裁量事项，执法人员作出执法决定必须严格遵照本基准执行，不得随意突破裁量阶次。</w:t>
      </w: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Style w:val="7"/>
          <w:rFonts w:hint="eastAsia" w:ascii="仿宋_GB2312" w:hAnsi="仿宋_GB2312" w:eastAsia="仿宋_GB2312" w:cs="仿宋_GB2312"/>
          <w:b w:val="0"/>
          <w:bCs w:val="0"/>
          <w:color w:val="000000"/>
          <w:sz w:val="32"/>
          <w:szCs w:val="32"/>
          <w:shd w:val="clear" w:color="auto" w:fill="auto"/>
        </w:rPr>
        <w:t>第三条</w:t>
      </w:r>
      <w:r>
        <w:rPr>
          <w:rStyle w:val="7"/>
          <w:rFonts w:hint="eastAsia" w:ascii="仿宋_GB2312" w:hAnsi="仿宋_GB2312" w:eastAsia="仿宋_GB2312" w:cs="仿宋_GB2312"/>
          <w:b w:val="0"/>
          <w:bCs w:val="0"/>
          <w:color w:val="000000"/>
          <w:sz w:val="32"/>
          <w:szCs w:val="32"/>
          <w:shd w:val="clear" w:color="auto" w:fill="auto"/>
          <w:lang w:val="en-US" w:eastAsia="zh-CN"/>
        </w:rPr>
        <w:t xml:space="preserve"> </w:t>
      </w:r>
      <w:r>
        <w:rPr>
          <w:rFonts w:hint="eastAsia" w:ascii="仿宋_GB2312" w:hAnsi="仿宋_GB2312" w:eastAsia="仿宋_GB2312" w:cs="仿宋_GB2312"/>
          <w:b w:val="0"/>
          <w:bCs w:val="0"/>
          <w:color w:val="000000"/>
          <w:sz w:val="32"/>
          <w:szCs w:val="32"/>
        </w:rPr>
        <w:t>行使裁量权坚持五项原则：合法合规、过罚相当、公平公正、处罚与教育结合、包容审慎监管、轻微免罚、首违不罚。</w:t>
      </w:r>
    </w:p>
    <w:p>
      <w:pPr>
        <w:pStyle w:val="3"/>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第二章 财政行政处罚具体裁量基准</w:t>
      </w:r>
    </w:p>
    <w:p>
      <w:pPr>
        <w:pStyle w:val="4"/>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6" w:lineRule="exact"/>
        <w:ind w:left="0" w:firstLine="640" w:firstLineChars="200"/>
        <w:jc w:val="both"/>
        <w:textAlignment w:val="auto"/>
        <w:rPr>
          <w:rFonts w:hint="eastAsia" w:ascii="楷体_GB2312" w:hAnsi="楷体_GB2312" w:eastAsia="楷体_GB2312" w:cs="楷体_GB2312"/>
          <w:b w:val="0"/>
          <w:bCs w:val="0"/>
          <w:color w:val="000000"/>
          <w:sz w:val="32"/>
          <w:szCs w:val="32"/>
        </w:rPr>
      </w:pPr>
      <w:r>
        <w:rPr>
          <w:rFonts w:hint="eastAsia" w:ascii="楷体_GB2312" w:hAnsi="楷体_GB2312" w:eastAsia="楷体_GB2312" w:cs="楷体_GB2312"/>
          <w:b w:val="0"/>
          <w:bCs w:val="0"/>
          <w:color w:val="000000"/>
          <w:sz w:val="32"/>
          <w:szCs w:val="32"/>
          <w:lang w:eastAsia="zh-CN"/>
        </w:rPr>
        <w:t>（一）</w:t>
      </w:r>
      <w:r>
        <w:rPr>
          <w:rFonts w:hint="eastAsia" w:ascii="楷体_GB2312" w:hAnsi="楷体_GB2312" w:eastAsia="楷体_GB2312" w:cs="楷体_GB2312"/>
          <w:b w:val="0"/>
          <w:bCs w:val="0"/>
          <w:color w:val="000000"/>
          <w:sz w:val="32"/>
          <w:szCs w:val="32"/>
        </w:rPr>
        <w:t>财政收入征管类违法行为</w:t>
      </w: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Style w:val="7"/>
          <w:rFonts w:hint="eastAsia" w:ascii="仿宋_GB2312" w:hAnsi="仿宋_GB2312" w:eastAsia="仿宋_GB2312" w:cs="仿宋_GB2312"/>
          <w:b w:val="0"/>
          <w:bCs w:val="0"/>
          <w:color w:val="000000"/>
          <w:sz w:val="32"/>
          <w:szCs w:val="32"/>
          <w:shd w:val="clear" w:color="auto" w:fill="auto"/>
        </w:rPr>
        <w:t>违法情形</w:t>
      </w:r>
      <w:r>
        <w:rPr>
          <w:rFonts w:hint="eastAsia" w:ascii="仿宋_GB2312" w:hAnsi="仿宋_GB2312" w:eastAsia="仿宋_GB2312" w:cs="仿宋_GB2312"/>
          <w:b w:val="0"/>
          <w:bCs w:val="0"/>
          <w:color w:val="000000"/>
          <w:sz w:val="32"/>
          <w:szCs w:val="32"/>
        </w:rPr>
        <w:t>：擅自设立收入项目、超标准征收、截留财政收入</w:t>
      </w: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Style w:val="7"/>
          <w:rFonts w:hint="eastAsia" w:ascii="仿宋_GB2312" w:hAnsi="仿宋_GB2312" w:eastAsia="仿宋_GB2312" w:cs="仿宋_GB2312"/>
          <w:b w:val="0"/>
          <w:bCs w:val="0"/>
          <w:color w:val="000000"/>
          <w:sz w:val="32"/>
          <w:szCs w:val="32"/>
          <w:shd w:val="clear" w:color="auto" w:fill="auto"/>
        </w:rPr>
        <w:t>法律依据</w:t>
      </w:r>
      <w:r>
        <w:rPr>
          <w:rFonts w:hint="eastAsia" w:ascii="仿宋_GB2312" w:hAnsi="仿宋_GB2312" w:eastAsia="仿宋_GB2312" w:cs="仿宋_GB2312"/>
          <w:b w:val="0"/>
          <w:bCs w:val="0"/>
          <w:color w:val="000000"/>
          <w:sz w:val="32"/>
          <w:szCs w:val="32"/>
        </w:rPr>
        <w:t>：《中华人民共和国预算法》第九十三条、《财政违法行为处罚处分条例》第三条</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1.</w:t>
      </w:r>
      <w:r>
        <w:rPr>
          <w:rFonts w:hint="eastAsia" w:ascii="仿宋_GB2312" w:hAnsi="仿宋_GB2312" w:eastAsia="仿宋_GB2312" w:cs="仿宋_GB2312"/>
          <w:b w:val="0"/>
          <w:bCs w:val="0"/>
          <w:color w:val="000000"/>
          <w:sz w:val="32"/>
          <w:szCs w:val="32"/>
        </w:rPr>
        <w:t>轻微（从轻）：金额较小，主动整改、全额补缴；单位警告通报，不予罚款。</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2.</w:t>
      </w:r>
      <w:r>
        <w:rPr>
          <w:rFonts w:hint="eastAsia" w:ascii="仿宋_GB2312" w:hAnsi="仿宋_GB2312" w:eastAsia="仿宋_GB2312" w:cs="仿宋_GB2312"/>
          <w:b w:val="0"/>
          <w:bCs w:val="0"/>
          <w:color w:val="000000"/>
          <w:sz w:val="32"/>
          <w:szCs w:val="32"/>
        </w:rPr>
        <w:t>一般：未主动整改，金额中等；单位警告、通报批评。</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3.</w:t>
      </w:r>
      <w:r>
        <w:rPr>
          <w:rFonts w:hint="eastAsia" w:ascii="仿宋_GB2312" w:hAnsi="仿宋_GB2312" w:eastAsia="仿宋_GB2312" w:cs="仿宋_GB2312"/>
          <w:b w:val="0"/>
          <w:bCs w:val="0"/>
          <w:color w:val="000000"/>
          <w:sz w:val="32"/>
          <w:szCs w:val="32"/>
        </w:rPr>
        <w:t>从重：截留数额较大、长期挂账、拒不上缴；单位通报批评，约谈主管负责人。</w:t>
      </w:r>
    </w:p>
    <w:p>
      <w:pPr>
        <w:pStyle w:val="4"/>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6" w:lineRule="exact"/>
        <w:ind w:left="0" w:firstLine="640" w:firstLineChars="200"/>
        <w:jc w:val="both"/>
        <w:textAlignment w:val="auto"/>
        <w:rPr>
          <w:rFonts w:hint="eastAsia" w:ascii="楷体_GB2312" w:hAnsi="楷体_GB2312" w:eastAsia="楷体_GB2312" w:cs="楷体_GB2312"/>
          <w:b w:val="0"/>
          <w:bCs w:val="0"/>
          <w:color w:val="000000"/>
          <w:sz w:val="32"/>
          <w:szCs w:val="32"/>
        </w:rPr>
      </w:pPr>
      <w:r>
        <w:rPr>
          <w:rFonts w:hint="eastAsia" w:ascii="楷体_GB2312" w:hAnsi="楷体_GB2312" w:eastAsia="楷体_GB2312" w:cs="楷体_GB2312"/>
          <w:b w:val="0"/>
          <w:bCs w:val="0"/>
          <w:color w:val="000000"/>
          <w:sz w:val="32"/>
          <w:szCs w:val="32"/>
          <w:lang w:eastAsia="zh-CN"/>
        </w:rPr>
        <w:t>（二）</w:t>
      </w:r>
      <w:r>
        <w:rPr>
          <w:rFonts w:hint="eastAsia" w:ascii="楷体_GB2312" w:hAnsi="楷体_GB2312" w:eastAsia="楷体_GB2312" w:cs="楷体_GB2312"/>
          <w:b w:val="0"/>
          <w:bCs w:val="0"/>
          <w:color w:val="000000"/>
          <w:sz w:val="32"/>
          <w:szCs w:val="32"/>
        </w:rPr>
        <w:t>违规拨付、滞留、截留、挪用财政专项资金</w:t>
      </w: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Style w:val="7"/>
          <w:rFonts w:hint="eastAsia" w:ascii="仿宋_GB2312" w:hAnsi="仿宋_GB2312" w:eastAsia="仿宋_GB2312" w:cs="仿宋_GB2312"/>
          <w:b w:val="0"/>
          <w:bCs w:val="0"/>
          <w:color w:val="000000"/>
          <w:sz w:val="32"/>
          <w:szCs w:val="32"/>
          <w:shd w:val="clear" w:color="auto" w:fill="auto"/>
        </w:rPr>
        <w:t>违法情形</w:t>
      </w:r>
      <w:r>
        <w:rPr>
          <w:rFonts w:hint="eastAsia" w:ascii="仿宋_GB2312" w:hAnsi="仿宋_GB2312" w:eastAsia="仿宋_GB2312" w:cs="仿宋_GB2312"/>
          <w:b w:val="0"/>
          <w:bCs w:val="0"/>
          <w:color w:val="000000"/>
          <w:sz w:val="32"/>
          <w:szCs w:val="32"/>
        </w:rPr>
        <w:t>：违规拨付、滞留、截留、挪用财政专项资金</w:t>
      </w: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Style w:val="7"/>
          <w:rFonts w:hint="eastAsia" w:ascii="仿宋_GB2312" w:hAnsi="仿宋_GB2312" w:eastAsia="仿宋_GB2312" w:cs="仿宋_GB2312"/>
          <w:b w:val="0"/>
          <w:bCs w:val="0"/>
          <w:color w:val="000000"/>
          <w:sz w:val="32"/>
          <w:szCs w:val="32"/>
          <w:shd w:val="clear" w:color="auto" w:fill="auto"/>
        </w:rPr>
        <w:t>法律依据</w:t>
      </w:r>
      <w:r>
        <w:rPr>
          <w:rFonts w:hint="eastAsia" w:ascii="仿宋_GB2312" w:hAnsi="仿宋_GB2312" w:eastAsia="仿宋_GB2312" w:cs="仿宋_GB2312"/>
          <w:b w:val="0"/>
          <w:bCs w:val="0"/>
          <w:color w:val="000000"/>
          <w:sz w:val="32"/>
          <w:szCs w:val="32"/>
        </w:rPr>
        <w:t>：《中华人民共和国预算法》第九十四条、《财政违法行为处罚处分条例》第六条</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1.</w:t>
      </w:r>
      <w:r>
        <w:rPr>
          <w:rFonts w:hint="eastAsia" w:ascii="仿宋_GB2312" w:hAnsi="仿宋_GB2312" w:eastAsia="仿宋_GB2312" w:cs="仿宋_GB2312"/>
          <w:b w:val="0"/>
          <w:bCs w:val="0"/>
          <w:color w:val="000000"/>
          <w:sz w:val="32"/>
          <w:szCs w:val="32"/>
        </w:rPr>
        <w:t>从轻：拨付滞后、程序瑕疵，资金未私用，限期整改到位：警告，免罚款。</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2.</w:t>
      </w:r>
      <w:r>
        <w:rPr>
          <w:rFonts w:hint="eastAsia" w:ascii="仿宋_GB2312" w:hAnsi="仿宋_GB2312" w:eastAsia="仿宋_GB2312" w:cs="仿宋_GB2312"/>
          <w:b w:val="0"/>
          <w:bCs w:val="0"/>
          <w:color w:val="000000"/>
          <w:sz w:val="32"/>
          <w:szCs w:val="32"/>
        </w:rPr>
        <w:t>一般：滞留资金、拨付不规范，无重大损失：单位警告通报。</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3.</w:t>
      </w:r>
      <w:r>
        <w:rPr>
          <w:rFonts w:hint="eastAsia" w:ascii="仿宋_GB2312" w:hAnsi="仿宋_GB2312" w:eastAsia="仿宋_GB2312" w:cs="仿宋_GB2312"/>
          <w:b w:val="0"/>
          <w:bCs w:val="0"/>
          <w:color w:val="000000"/>
          <w:sz w:val="32"/>
          <w:szCs w:val="32"/>
        </w:rPr>
        <w:t>从重：挪用惠民、涉农、乡村振兴资金，改变资金用途：通报批评，依规处以罚款，移送纪检监察机关。</w:t>
      </w:r>
    </w:p>
    <w:p>
      <w:pPr>
        <w:pStyle w:val="4"/>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6" w:lineRule="exact"/>
        <w:ind w:left="0" w:firstLine="640" w:firstLineChars="200"/>
        <w:jc w:val="both"/>
        <w:textAlignment w:val="auto"/>
        <w:rPr>
          <w:rFonts w:hint="eastAsia" w:ascii="楷体_GB2312" w:hAnsi="楷体_GB2312" w:eastAsia="楷体_GB2312" w:cs="楷体_GB2312"/>
          <w:b w:val="0"/>
          <w:bCs w:val="0"/>
          <w:color w:val="000000"/>
          <w:sz w:val="32"/>
          <w:szCs w:val="32"/>
        </w:rPr>
      </w:pPr>
      <w:r>
        <w:rPr>
          <w:rFonts w:hint="eastAsia" w:ascii="楷体_GB2312" w:hAnsi="楷体_GB2312" w:eastAsia="楷体_GB2312" w:cs="楷体_GB2312"/>
          <w:b w:val="0"/>
          <w:bCs w:val="0"/>
          <w:color w:val="000000"/>
          <w:sz w:val="32"/>
          <w:szCs w:val="32"/>
          <w:lang w:eastAsia="zh-CN"/>
        </w:rPr>
        <w:t>（三）</w:t>
      </w:r>
      <w:r>
        <w:rPr>
          <w:rFonts w:hint="eastAsia" w:ascii="楷体_GB2312" w:hAnsi="楷体_GB2312" w:eastAsia="楷体_GB2312" w:cs="楷体_GB2312"/>
          <w:b w:val="0"/>
          <w:bCs w:val="0"/>
          <w:color w:val="000000"/>
          <w:sz w:val="32"/>
          <w:szCs w:val="32"/>
        </w:rPr>
        <w:t>政府采购违法裁量基准</w:t>
      </w: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Style w:val="7"/>
          <w:rFonts w:hint="eastAsia" w:ascii="仿宋_GB2312" w:hAnsi="仿宋_GB2312" w:eastAsia="仿宋_GB2312" w:cs="仿宋_GB2312"/>
          <w:b w:val="0"/>
          <w:bCs w:val="0"/>
          <w:color w:val="000000"/>
          <w:sz w:val="32"/>
          <w:szCs w:val="32"/>
          <w:shd w:val="clear" w:color="auto" w:fill="auto"/>
        </w:rPr>
        <w:t>违法情形</w:t>
      </w:r>
      <w:r>
        <w:rPr>
          <w:rFonts w:hint="eastAsia" w:ascii="仿宋_GB2312" w:hAnsi="仿宋_GB2312" w:eastAsia="仿宋_GB2312" w:cs="仿宋_GB2312"/>
          <w:b w:val="0"/>
          <w:bCs w:val="0"/>
          <w:color w:val="000000"/>
          <w:sz w:val="32"/>
          <w:szCs w:val="32"/>
        </w:rPr>
        <w:t>：规避招标、化整为零、擅自采购</w:t>
      </w: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Style w:val="7"/>
          <w:rFonts w:hint="eastAsia" w:ascii="仿宋_GB2312" w:hAnsi="仿宋_GB2312" w:eastAsia="仿宋_GB2312" w:cs="仿宋_GB2312"/>
          <w:b w:val="0"/>
          <w:bCs w:val="0"/>
          <w:color w:val="000000"/>
          <w:sz w:val="32"/>
          <w:szCs w:val="32"/>
          <w:shd w:val="clear" w:color="auto" w:fill="auto"/>
        </w:rPr>
        <w:t>法律依据</w:t>
      </w:r>
      <w:r>
        <w:rPr>
          <w:rFonts w:hint="eastAsia" w:ascii="仿宋_GB2312" w:hAnsi="仿宋_GB2312" w:eastAsia="仿宋_GB2312" w:cs="仿宋_GB2312"/>
          <w:b w:val="0"/>
          <w:bCs w:val="0"/>
          <w:color w:val="000000"/>
          <w:sz w:val="32"/>
          <w:szCs w:val="32"/>
        </w:rPr>
        <w:t>：《中华人民共和国政府采购法》第七十一条、第七十二条</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1.</w:t>
      </w:r>
      <w:r>
        <w:rPr>
          <w:rFonts w:hint="eastAsia" w:ascii="仿宋_GB2312" w:hAnsi="仿宋_GB2312" w:eastAsia="仿宋_GB2312" w:cs="仿宋_GB2312"/>
          <w:b w:val="0"/>
          <w:bCs w:val="0"/>
          <w:color w:val="000000"/>
          <w:sz w:val="32"/>
          <w:szCs w:val="32"/>
        </w:rPr>
        <w:t>轻微：程序瑕疵，项目合规，责令整改，警告。</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2.</w:t>
      </w:r>
      <w:r>
        <w:rPr>
          <w:rFonts w:hint="eastAsia" w:ascii="仿宋_GB2312" w:hAnsi="仿宋_GB2312" w:eastAsia="仿宋_GB2312" w:cs="仿宋_GB2312"/>
          <w:b w:val="0"/>
          <w:bCs w:val="0"/>
          <w:color w:val="000000"/>
          <w:sz w:val="32"/>
          <w:szCs w:val="32"/>
        </w:rPr>
        <w:t>一般：违规确定供应商，未造成损失：通报批评。</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3.</w:t>
      </w:r>
      <w:r>
        <w:rPr>
          <w:rFonts w:hint="eastAsia" w:ascii="仿宋_GB2312" w:hAnsi="仿宋_GB2312" w:eastAsia="仿宋_GB2312" w:cs="仿宋_GB2312"/>
          <w:b w:val="0"/>
          <w:bCs w:val="0"/>
          <w:color w:val="000000"/>
          <w:sz w:val="32"/>
          <w:szCs w:val="32"/>
        </w:rPr>
        <w:t>从重：内外串通、虚假采购、谋取利益：列入不良行为名单，依规处罚。</w:t>
      </w:r>
    </w:p>
    <w:p>
      <w:pPr>
        <w:pStyle w:val="4"/>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6" w:lineRule="exact"/>
        <w:ind w:left="0" w:firstLine="640" w:firstLineChars="200"/>
        <w:jc w:val="both"/>
        <w:textAlignment w:val="auto"/>
        <w:rPr>
          <w:rFonts w:hint="eastAsia" w:ascii="楷体_GB2312" w:hAnsi="楷体_GB2312" w:eastAsia="楷体_GB2312" w:cs="楷体_GB2312"/>
          <w:b w:val="0"/>
          <w:bCs w:val="0"/>
          <w:color w:val="000000"/>
          <w:sz w:val="32"/>
          <w:szCs w:val="32"/>
        </w:rPr>
      </w:pPr>
      <w:r>
        <w:rPr>
          <w:rFonts w:hint="eastAsia" w:ascii="楷体_GB2312" w:hAnsi="楷体_GB2312" w:eastAsia="楷体_GB2312" w:cs="楷体_GB2312"/>
          <w:b w:val="0"/>
          <w:bCs w:val="0"/>
          <w:color w:val="000000"/>
          <w:sz w:val="32"/>
          <w:szCs w:val="32"/>
          <w:lang w:eastAsia="zh-CN"/>
        </w:rPr>
        <w:t>（四）</w:t>
      </w:r>
      <w:r>
        <w:rPr>
          <w:rFonts w:hint="eastAsia" w:ascii="楷体_GB2312" w:hAnsi="楷体_GB2312" w:eastAsia="楷体_GB2312" w:cs="楷体_GB2312"/>
          <w:b w:val="0"/>
          <w:bCs w:val="0"/>
          <w:color w:val="000000"/>
          <w:sz w:val="32"/>
          <w:szCs w:val="32"/>
        </w:rPr>
        <w:t>国有资产处置不规范、未报批、擅自出租变卖国有资产</w:t>
      </w: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Style w:val="7"/>
          <w:rFonts w:hint="eastAsia" w:ascii="仿宋_GB2312" w:hAnsi="仿宋_GB2312" w:eastAsia="仿宋_GB2312" w:cs="仿宋_GB2312"/>
          <w:b w:val="0"/>
          <w:bCs w:val="0"/>
          <w:color w:val="000000"/>
          <w:sz w:val="32"/>
          <w:szCs w:val="32"/>
          <w:shd w:val="clear" w:color="auto" w:fill="auto"/>
        </w:rPr>
        <w:t>违法情形</w:t>
      </w:r>
      <w:r>
        <w:rPr>
          <w:rFonts w:hint="eastAsia" w:ascii="仿宋_GB2312" w:hAnsi="仿宋_GB2312" w:eastAsia="仿宋_GB2312" w:cs="仿宋_GB2312"/>
          <w:b w:val="0"/>
          <w:bCs w:val="0"/>
          <w:color w:val="000000"/>
          <w:sz w:val="32"/>
          <w:szCs w:val="32"/>
        </w:rPr>
        <w:t>：国有资产处置不规范、未报批、擅自出租变卖国有资产</w:t>
      </w: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Style w:val="7"/>
          <w:rFonts w:hint="eastAsia" w:ascii="仿宋_GB2312" w:hAnsi="仿宋_GB2312" w:eastAsia="仿宋_GB2312" w:cs="仿宋_GB2312"/>
          <w:b w:val="0"/>
          <w:bCs w:val="0"/>
          <w:color w:val="000000"/>
          <w:sz w:val="32"/>
          <w:szCs w:val="32"/>
          <w:shd w:val="clear" w:color="auto" w:fill="auto"/>
        </w:rPr>
        <w:t>法律依据</w:t>
      </w:r>
      <w:r>
        <w:rPr>
          <w:rFonts w:hint="eastAsia" w:ascii="仿宋_GB2312" w:hAnsi="仿宋_GB2312" w:eastAsia="仿宋_GB2312" w:cs="仿宋_GB2312"/>
          <w:b w:val="0"/>
          <w:bCs w:val="0"/>
          <w:color w:val="000000"/>
          <w:sz w:val="32"/>
          <w:szCs w:val="32"/>
        </w:rPr>
        <w:t>：《行政事业性国有资产管理条例》第五十二条、《财政违法行为处罚处分条例》第八条</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1.</w:t>
      </w:r>
      <w:r>
        <w:rPr>
          <w:rFonts w:hint="eastAsia" w:ascii="仿宋_GB2312" w:hAnsi="仿宋_GB2312" w:eastAsia="仿宋_GB2312" w:cs="仿宋_GB2312"/>
          <w:b w:val="0"/>
          <w:bCs w:val="0"/>
          <w:color w:val="000000"/>
          <w:sz w:val="32"/>
          <w:szCs w:val="32"/>
        </w:rPr>
        <w:t>初次瑕疵：限期补办手续，免处罚。</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2.</w:t>
      </w:r>
      <w:r>
        <w:rPr>
          <w:rFonts w:hint="eastAsia" w:ascii="仿宋_GB2312" w:hAnsi="仿宋_GB2312" w:eastAsia="仿宋_GB2312" w:cs="仿宋_GB2312"/>
          <w:b w:val="0"/>
          <w:bCs w:val="0"/>
          <w:color w:val="000000"/>
          <w:sz w:val="32"/>
          <w:szCs w:val="32"/>
        </w:rPr>
        <w:t>一般：未报批但资产未流失：警告、责令整改。</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3.</w:t>
      </w:r>
      <w:r>
        <w:rPr>
          <w:rFonts w:hint="eastAsia" w:ascii="仿宋_GB2312" w:hAnsi="仿宋_GB2312" w:eastAsia="仿宋_GB2312" w:cs="仿宋_GB2312"/>
          <w:b w:val="0"/>
          <w:bCs w:val="0"/>
          <w:color w:val="000000"/>
          <w:sz w:val="32"/>
          <w:szCs w:val="32"/>
        </w:rPr>
        <w:t>从重：造成国有资产流失：通报批评，依规追责。</w:t>
      </w:r>
    </w:p>
    <w:p>
      <w:pPr>
        <w:pStyle w:val="3"/>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第三章 行政许可、行政确认裁量基准</w:t>
      </w:r>
    </w:p>
    <w:p>
      <w:pPr>
        <w:pStyle w:val="4"/>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6" w:lineRule="exact"/>
        <w:ind w:left="0" w:firstLine="640" w:firstLineChars="200"/>
        <w:jc w:val="both"/>
        <w:textAlignment w:val="auto"/>
        <w:rPr>
          <w:rFonts w:hint="eastAsia" w:ascii="楷体_GB2312" w:hAnsi="楷体_GB2312" w:eastAsia="楷体_GB2312" w:cs="楷体_GB2312"/>
          <w:b w:val="0"/>
          <w:bCs w:val="0"/>
          <w:color w:val="000000"/>
          <w:sz w:val="32"/>
          <w:szCs w:val="32"/>
        </w:rPr>
      </w:pPr>
      <w:r>
        <w:rPr>
          <w:rFonts w:hint="eastAsia" w:ascii="楷体_GB2312" w:hAnsi="楷体_GB2312" w:eastAsia="楷体_GB2312" w:cs="楷体_GB2312"/>
          <w:b w:val="0"/>
          <w:bCs w:val="0"/>
          <w:color w:val="000000"/>
          <w:sz w:val="32"/>
          <w:szCs w:val="32"/>
        </w:rPr>
        <w:t>（一）资金拨付审核、经费审批裁量</w:t>
      </w: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Style w:val="7"/>
          <w:rFonts w:hint="eastAsia" w:ascii="仿宋_GB2312" w:hAnsi="仿宋_GB2312" w:eastAsia="仿宋_GB2312" w:cs="仿宋_GB2312"/>
          <w:b w:val="0"/>
          <w:bCs w:val="0"/>
          <w:color w:val="000000"/>
          <w:sz w:val="32"/>
          <w:szCs w:val="32"/>
          <w:shd w:val="clear" w:color="auto" w:fill="auto"/>
        </w:rPr>
        <w:t>工作事项</w:t>
      </w:r>
      <w:r>
        <w:rPr>
          <w:rFonts w:hint="eastAsia" w:ascii="仿宋_GB2312" w:hAnsi="仿宋_GB2312" w:eastAsia="仿宋_GB2312" w:cs="仿宋_GB2312"/>
          <w:b w:val="0"/>
          <w:bCs w:val="0"/>
          <w:color w:val="000000"/>
          <w:sz w:val="32"/>
          <w:szCs w:val="32"/>
        </w:rPr>
        <w:t>：预算资金拨付审核、经费审批</w:t>
      </w: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Style w:val="7"/>
          <w:rFonts w:hint="eastAsia" w:ascii="仿宋_GB2312" w:hAnsi="仿宋_GB2312" w:eastAsia="仿宋_GB2312" w:cs="仿宋_GB2312"/>
          <w:b w:val="0"/>
          <w:bCs w:val="0"/>
          <w:color w:val="000000"/>
          <w:sz w:val="32"/>
          <w:szCs w:val="32"/>
          <w:shd w:val="clear" w:color="auto" w:fill="auto"/>
        </w:rPr>
        <w:t>法律依据</w:t>
      </w:r>
      <w:r>
        <w:rPr>
          <w:rFonts w:hint="eastAsia" w:ascii="仿宋_GB2312" w:hAnsi="仿宋_GB2312" w:eastAsia="仿宋_GB2312" w:cs="仿宋_GB2312"/>
          <w:b w:val="0"/>
          <w:bCs w:val="0"/>
          <w:color w:val="000000"/>
          <w:sz w:val="32"/>
          <w:szCs w:val="32"/>
        </w:rPr>
        <w:t>：《中华人民共和国预算法》第五十七条、《中华人民共和国行政许可法》第三十二条</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1.</w:t>
      </w:r>
      <w:r>
        <w:rPr>
          <w:rFonts w:hint="eastAsia" w:ascii="仿宋_GB2312" w:hAnsi="仿宋_GB2312" w:eastAsia="仿宋_GB2312" w:cs="仿宋_GB2312"/>
          <w:b w:val="0"/>
          <w:bCs w:val="0"/>
          <w:color w:val="000000"/>
          <w:sz w:val="32"/>
          <w:szCs w:val="32"/>
        </w:rPr>
        <w:t>严格按照预算、合同、验收资料拨付，不得人为设置额外门槛；</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2.</w:t>
      </w:r>
      <w:r>
        <w:rPr>
          <w:rFonts w:hint="eastAsia" w:ascii="仿宋_GB2312" w:hAnsi="仿宋_GB2312" w:eastAsia="仿宋_GB2312" w:cs="仿宋_GB2312"/>
          <w:b w:val="0"/>
          <w:bCs w:val="0"/>
          <w:color w:val="000000"/>
          <w:sz w:val="32"/>
          <w:szCs w:val="32"/>
        </w:rPr>
        <w:t>资料完整合规：在法定时限内办结；</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3.</w:t>
      </w:r>
      <w:r>
        <w:rPr>
          <w:rFonts w:hint="eastAsia" w:ascii="仿宋_GB2312" w:hAnsi="仿宋_GB2312" w:eastAsia="仿宋_GB2312" w:cs="仿宋_GB2312"/>
          <w:b w:val="0"/>
          <w:bCs w:val="0"/>
          <w:color w:val="000000"/>
          <w:sz w:val="32"/>
          <w:szCs w:val="32"/>
        </w:rPr>
        <w:t>存在资料瑕疵：一次性告知补正，不得无故压滞资金。</w:t>
      </w:r>
    </w:p>
    <w:p>
      <w:pPr>
        <w:pStyle w:val="4"/>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76" w:lineRule="exact"/>
        <w:ind w:left="0" w:firstLine="640" w:firstLineChars="200"/>
        <w:jc w:val="both"/>
        <w:textAlignment w:val="auto"/>
        <w:rPr>
          <w:rFonts w:hint="eastAsia" w:ascii="楷体_GB2312" w:hAnsi="楷体_GB2312" w:eastAsia="楷体_GB2312" w:cs="楷体_GB2312"/>
          <w:b w:val="0"/>
          <w:bCs w:val="0"/>
          <w:color w:val="000000"/>
          <w:sz w:val="32"/>
          <w:szCs w:val="32"/>
        </w:rPr>
      </w:pPr>
      <w:r>
        <w:rPr>
          <w:rFonts w:hint="eastAsia" w:ascii="楷体_GB2312" w:hAnsi="楷体_GB2312" w:eastAsia="楷体_GB2312" w:cs="楷体_GB2312"/>
          <w:b w:val="0"/>
          <w:bCs w:val="0"/>
          <w:color w:val="000000"/>
          <w:sz w:val="32"/>
          <w:szCs w:val="32"/>
        </w:rPr>
        <w:t>（二）行政检查裁量基准</w:t>
      </w: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Style w:val="7"/>
          <w:rFonts w:hint="eastAsia" w:ascii="仿宋_GB2312" w:hAnsi="仿宋_GB2312" w:eastAsia="仿宋_GB2312" w:cs="仿宋_GB2312"/>
          <w:b w:val="0"/>
          <w:bCs w:val="0"/>
          <w:color w:val="000000"/>
          <w:sz w:val="32"/>
          <w:szCs w:val="32"/>
          <w:shd w:val="clear" w:color="auto" w:fill="auto"/>
        </w:rPr>
        <w:t>工作事项</w:t>
      </w:r>
      <w:r>
        <w:rPr>
          <w:rFonts w:hint="eastAsia" w:ascii="仿宋_GB2312" w:hAnsi="仿宋_GB2312" w:eastAsia="仿宋_GB2312" w:cs="仿宋_GB2312"/>
          <w:b w:val="0"/>
          <w:bCs w:val="0"/>
          <w:color w:val="000000"/>
          <w:sz w:val="32"/>
          <w:szCs w:val="32"/>
        </w:rPr>
        <w:t>：财政日常监督检查</w:t>
      </w: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640" w:firstLineChars="200"/>
        <w:jc w:val="both"/>
        <w:textAlignment w:val="auto"/>
        <w:rPr>
          <w:rFonts w:hint="eastAsia" w:ascii="仿宋_GB2312" w:hAnsi="仿宋_GB2312" w:eastAsia="仿宋_GB2312" w:cs="仿宋_GB2312"/>
          <w:b w:val="0"/>
          <w:bCs w:val="0"/>
          <w:color w:val="000000"/>
          <w:sz w:val="32"/>
          <w:szCs w:val="32"/>
        </w:rPr>
      </w:pPr>
      <w:r>
        <w:rPr>
          <w:rStyle w:val="7"/>
          <w:rFonts w:hint="eastAsia" w:ascii="仿宋_GB2312" w:hAnsi="仿宋_GB2312" w:eastAsia="仿宋_GB2312" w:cs="仿宋_GB2312"/>
          <w:b w:val="0"/>
          <w:bCs w:val="0"/>
          <w:color w:val="000000"/>
          <w:sz w:val="32"/>
          <w:szCs w:val="32"/>
          <w:shd w:val="clear" w:color="auto" w:fill="auto"/>
        </w:rPr>
        <w:t>法律依据</w:t>
      </w:r>
      <w:r>
        <w:rPr>
          <w:rFonts w:hint="eastAsia" w:ascii="仿宋_GB2312" w:hAnsi="仿宋_GB2312" w:eastAsia="仿宋_GB2312" w:cs="仿宋_GB2312"/>
          <w:b w:val="0"/>
          <w:bCs w:val="0"/>
          <w:color w:val="000000"/>
          <w:sz w:val="32"/>
          <w:szCs w:val="32"/>
        </w:rPr>
        <w:t>：《中华人民共和国预算法》第八十八条、《国务院办公厅关于进一步规范行政裁量权基准制定和管理工作的意见》（国办发〔2022〕27号），落实“无事不扰”监管要求</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1.</w:t>
      </w:r>
      <w:r>
        <w:rPr>
          <w:rFonts w:hint="eastAsia" w:ascii="仿宋_GB2312" w:hAnsi="仿宋_GB2312" w:eastAsia="仿宋_GB2312" w:cs="仿宋_GB2312"/>
          <w:b w:val="0"/>
          <w:bCs w:val="0"/>
          <w:color w:val="000000"/>
          <w:sz w:val="32"/>
          <w:szCs w:val="32"/>
        </w:rPr>
        <w:t>常规检查：每年抽查比例不高于 30%，禁止随意频繁检查；</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2.</w:t>
      </w:r>
      <w:r>
        <w:rPr>
          <w:rFonts w:hint="eastAsia" w:ascii="仿宋_GB2312" w:hAnsi="仿宋_GB2312" w:eastAsia="仿宋_GB2312" w:cs="仿宋_GB2312"/>
          <w:b w:val="0"/>
          <w:bCs w:val="0"/>
          <w:color w:val="000000"/>
          <w:sz w:val="32"/>
          <w:szCs w:val="32"/>
        </w:rPr>
        <w:t>投诉举报、审计移交、疑点线索，启动专项检查；</w:t>
      </w:r>
    </w:p>
    <w:p>
      <w:pPr>
        <w:keepNext w:val="0"/>
        <w:keepLines w:val="0"/>
        <w:pageBreakBefore w:val="0"/>
        <w:numPr>
          <w:numId w:val="0"/>
        </w:numPr>
        <w:shd w:val="clear" w:color="auto" w:fill="auto"/>
        <w:kinsoku/>
        <w:wordWrap/>
        <w:overflowPunct/>
        <w:topLinePunct w:val="0"/>
        <w:autoSpaceDE/>
        <w:autoSpaceDN/>
        <w:bidi w:val="0"/>
        <w:adjustRightInd/>
        <w:snapToGrid/>
        <w:spacing w:beforeAutospacing="0" w:afterAutospacing="0" w:line="576" w:lineRule="exact"/>
        <w:ind w:lef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3.</w:t>
      </w:r>
      <w:r>
        <w:rPr>
          <w:rFonts w:hint="eastAsia" w:ascii="仿宋_GB2312" w:hAnsi="仿宋_GB2312" w:eastAsia="仿宋_GB2312" w:cs="仿宋_GB2312"/>
          <w:b w:val="0"/>
          <w:bCs w:val="0"/>
          <w:color w:val="000000"/>
          <w:sz w:val="32"/>
          <w:szCs w:val="32"/>
        </w:rPr>
        <w:t>全面落实“无事不扰”，对信用良好预算单位减少现场检查频次。</w:t>
      </w:r>
      <w:bookmarkStart w:id="0" w:name="_GoBack"/>
      <w:bookmarkEnd w:id="0"/>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0"/>
        <w:jc w:val="both"/>
        <w:textAlignment w:val="auto"/>
        <w:rPr>
          <w:rFonts w:hint="eastAsia" w:ascii="仿宋_GB2312" w:hAnsi="仿宋_GB2312" w:eastAsia="仿宋_GB2312" w:cs="仿宋_GB2312"/>
          <w:b w:val="0"/>
          <w:bCs w:val="0"/>
          <w:color w:val="000000"/>
          <w:sz w:val="32"/>
          <w:szCs w:val="32"/>
        </w:rPr>
      </w:pP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0"/>
        <w:jc w:val="both"/>
        <w:textAlignment w:val="auto"/>
        <w:rPr>
          <w:rFonts w:hint="eastAsia" w:ascii="仿宋_GB2312" w:hAnsi="仿宋_GB2312" w:eastAsia="仿宋_GB2312" w:cs="仿宋_GB2312"/>
          <w:b w:val="0"/>
          <w:bCs w:val="0"/>
          <w:color w:val="000000"/>
          <w:sz w:val="32"/>
          <w:szCs w:val="32"/>
        </w:rPr>
      </w:pP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0"/>
        <w:jc w:val="both"/>
        <w:textAlignment w:val="auto"/>
        <w:rPr>
          <w:rFonts w:hint="eastAsia" w:ascii="仿宋_GB2312" w:hAnsi="仿宋_GB2312" w:eastAsia="仿宋_GB2312" w:cs="仿宋_GB2312"/>
          <w:b w:val="0"/>
          <w:bCs w:val="0"/>
          <w:color w:val="000000"/>
          <w:sz w:val="32"/>
          <w:szCs w:val="32"/>
        </w:rPr>
      </w:pPr>
    </w:p>
    <w:p>
      <w:pPr>
        <w:keepNext w:val="0"/>
        <w:keepLines w:val="0"/>
        <w:pageBreakBefore w:val="0"/>
        <w:shd w:val="clear" w:color="auto" w:fill="auto"/>
        <w:kinsoku/>
        <w:wordWrap/>
        <w:overflowPunct/>
        <w:topLinePunct w:val="0"/>
        <w:autoSpaceDE/>
        <w:autoSpaceDN/>
        <w:bidi w:val="0"/>
        <w:adjustRightInd/>
        <w:snapToGrid/>
        <w:spacing w:beforeAutospacing="0" w:afterAutospacing="0" w:line="576" w:lineRule="exact"/>
        <w:ind w:left="0" w:firstLine="6080" w:firstLineChars="19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朗县财政局</w:t>
      </w:r>
    </w:p>
    <w:p>
      <w:pPr>
        <w:keepNext w:val="0"/>
        <w:keepLines w:val="0"/>
        <w:pageBreakBefore w:val="0"/>
        <w:kinsoku/>
        <w:wordWrap/>
        <w:overflowPunct/>
        <w:topLinePunct w:val="0"/>
        <w:autoSpaceDE/>
        <w:autoSpaceDN/>
        <w:bidi w:val="0"/>
        <w:adjustRightInd/>
        <w:snapToGrid/>
        <w:spacing w:beforeAutospacing="0" w:afterAutospacing="0" w:line="576" w:lineRule="exact"/>
        <w:ind w:left="0" w:firstLine="5760" w:firstLineChars="18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color w:val="000000"/>
          <w:sz w:val="32"/>
          <w:szCs w:val="32"/>
        </w:rPr>
        <w:t>2026年</w:t>
      </w:r>
      <w:r>
        <w:rPr>
          <w:rFonts w:hint="eastAsia" w:ascii="仿宋_GB2312" w:hAnsi="仿宋_GB2312" w:eastAsia="仿宋_GB2312" w:cs="仿宋_GB2312"/>
          <w:b w:val="0"/>
          <w:bCs w:val="0"/>
          <w:color w:val="000000"/>
          <w:sz w:val="32"/>
          <w:szCs w:val="32"/>
          <w:lang w:val="en-US" w:eastAsia="zh-CN"/>
        </w:rPr>
        <w:t>9</w:t>
      </w:r>
      <w:r>
        <w:rPr>
          <w:rFonts w:hint="eastAsia" w:ascii="仿宋_GB2312" w:hAnsi="仿宋_GB2312" w:eastAsia="仿宋_GB2312" w:cs="仿宋_GB2312"/>
          <w:b w:val="0"/>
          <w:bCs w:val="0"/>
          <w:color w:val="000000"/>
          <w:sz w:val="32"/>
          <w:szCs w:val="32"/>
        </w:rPr>
        <w:t>月</w:t>
      </w:r>
      <w:r>
        <w:rPr>
          <w:rFonts w:hint="eastAsia" w:ascii="仿宋_GB2312" w:hAnsi="仿宋_GB2312" w:eastAsia="仿宋_GB2312" w:cs="仿宋_GB2312"/>
          <w:b w:val="0"/>
          <w:bCs w:val="0"/>
          <w:color w:val="000000"/>
          <w:sz w:val="32"/>
          <w:szCs w:val="32"/>
          <w:lang w:val="en-US" w:eastAsia="zh-CN"/>
        </w:rPr>
        <w:t>21</w:t>
      </w:r>
      <w:r>
        <w:rPr>
          <w:rFonts w:hint="eastAsia" w:ascii="仿宋_GB2312" w:hAnsi="仿宋_GB2312" w:eastAsia="仿宋_GB2312" w:cs="仿宋_GB2312"/>
          <w:b w:val="0"/>
          <w:bCs w:val="0"/>
          <w:color w:val="000000"/>
          <w:sz w:val="32"/>
          <w:szCs w:val="32"/>
        </w:rPr>
        <w:t>日</w:t>
      </w:r>
    </w:p>
    <w:sectPr>
      <w:pgSz w:w="11907" w:h="16839"/>
      <w:pgMar w:top="2098" w:right="1474" w:bottom="1984" w:left="1587" w:header="851" w:footer="992" w:gutter="0"/>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EU-BZ"/>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EU-BZ"/>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Lucida Sans">
    <w:altName w:val="Noto Naskh Arabic"/>
    <w:panose1 w:val="020B0602030504020204"/>
    <w:charset w:val="00"/>
    <w:family w:val="auto"/>
    <w:pitch w:val="default"/>
    <w:sig w:usb0="00000000" w:usb1="00000000" w:usb2="00000000" w:usb3="00000000" w:csb0="20000001" w:csb1="00000000"/>
  </w:font>
  <w:font w:name="Noto Naskh Arabic">
    <w:panose1 w:val="020B0502040504020204"/>
    <w:charset w:val="00"/>
    <w:family w:val="auto"/>
    <w:pitch w:val="default"/>
    <w:sig w:usb0="00002000" w:usb1="80000000" w:usb2="00000008" w:usb3="00000000" w:csb0="00000041" w:csb1="00080000"/>
  </w:font>
  <w:font w:name="方正小标宋简体">
    <w:panose1 w:val="02000000000000000000"/>
    <w:charset w:val="86"/>
    <w:family w:val="auto"/>
    <w:pitch w:val="default"/>
    <w:sig w:usb0="A00002BF" w:usb1="184F6CFA" w:usb2="00000012" w:usb3="00000000" w:csb0="00040001" w:csb1="00000000"/>
  </w:font>
  <w:font w:name="EU-BZ">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20"/>
  <w:drawingGridVerticalSpacing w:val="156"/>
  <w:displayHorizontalDrawingGridEvery w:val="0"/>
  <w:displayVerticalDrawingGridEvery w:val="2"/>
  <w:noPunctuationKerning w:val="1"/>
  <w:noLineBreaksAfter w:lang="zh-CN" w:val="$([{£¥·‘“〈《「『【〔〖〝﹙﹛﹝＄（．［｛￡￥"/>
  <w:noLineBreaksBefore w:lang="zh-CN" w:val="!%),.:;&gt;?]}¢¨°·ˇˉ―‖’”…‰′″›℃∶、。〃〉》」』】〕〗〞︶︺︾﹀﹄﹚﹜﹞！＂％＇），．：；？］｀｜｝～￠"/>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5"/>
  </w:compat>
  <w:rsids>
    <w:rsidRoot w:val="00000000"/>
    <w:rsid w:val="7DCF83C6"/>
    <w:rsid w:val="F74FE289"/>
    <w:rsid w:val="FC7EFD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left"/>
    </w:pPr>
    <w:rPr>
      <w:rFonts w:ascii="宋体" w:hAnsi="Times New Roman" w:eastAsia="宋体" w:cs="Lucida Sans"/>
      <w:kern w:val="2"/>
      <w:sz w:val="24"/>
      <w:szCs w:val="21"/>
      <w:lang w:val="en-US" w:eastAsia="zh-CN" w:bidi="ar-SA"/>
    </w:rPr>
  </w:style>
  <w:style w:type="paragraph" w:styleId="2">
    <w:name w:val="heading 1"/>
    <w:basedOn w:val="1"/>
    <w:link w:val="8"/>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0"/>
    </w:pPr>
    <w:rPr>
      <w:rFonts w:ascii="宋体" w:eastAsia="宋体"/>
      <w:b/>
      <w:snapToGrid/>
      <w:color w:val="auto"/>
      <w:spacing w:val="0"/>
      <w:w w:val="100"/>
      <w:kern w:val="36"/>
      <w:position w:val="0"/>
      <w:sz w:val="48"/>
      <w:u w:val="none" w:color="auto"/>
      <w:shd w:val="clear" w:color="auto" w:fill="auto"/>
      <w:vertAlign w:val="baseline"/>
      <w:lang w:val="en-US" w:eastAsia="zh-CN"/>
    </w:rPr>
  </w:style>
  <w:style w:type="paragraph" w:styleId="3">
    <w:name w:val="heading 2"/>
    <w:basedOn w:val="1"/>
    <w:link w:val="9"/>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1"/>
    </w:pPr>
    <w:rPr>
      <w:rFonts w:ascii="宋体" w:eastAsia="宋体"/>
      <w:b/>
      <w:snapToGrid/>
      <w:color w:val="auto"/>
      <w:spacing w:val="0"/>
      <w:w w:val="100"/>
      <w:kern w:val="0"/>
      <w:position w:val="0"/>
      <w:sz w:val="36"/>
      <w:u w:val="none" w:color="auto"/>
      <w:shd w:val="clear" w:color="auto" w:fill="auto"/>
      <w:vertAlign w:val="baseline"/>
      <w:lang w:val="en-US" w:eastAsia="zh-CN"/>
    </w:rPr>
  </w:style>
  <w:style w:type="paragraph" w:styleId="4">
    <w:name w:val="heading 3"/>
    <w:basedOn w:val="1"/>
    <w:link w:val="10"/>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2"/>
    </w:pPr>
    <w:rPr>
      <w:rFonts w:ascii="宋体" w:eastAsia="宋体"/>
      <w:b/>
      <w:snapToGrid/>
      <w:color w:val="auto"/>
      <w:spacing w:val="0"/>
      <w:w w:val="100"/>
      <w:kern w:val="0"/>
      <w:position w:val="0"/>
      <w:sz w:val="27"/>
      <w:u w:val="none" w:color="auto"/>
      <w:shd w:val="clear" w:color="auto" w:fill="auto"/>
      <w:vertAlign w:val="baseline"/>
      <w:lang w:val="en-US" w:eastAsia="zh-CN"/>
    </w:rPr>
  </w:style>
  <w:style w:type="character" w:default="1" w:styleId="6">
    <w:name w:val="Default Paragraph Font"/>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0"/>
    <w:rPr>
      <w:b/>
      <w:bCs/>
    </w:rPr>
  </w:style>
  <w:style w:type="character" w:customStyle="1" w:styleId="8">
    <w:name w:val="heading 1 Char"/>
    <w:basedOn w:val="6"/>
    <w:link w:val="2"/>
    <w:qFormat/>
    <w:uiPriority w:val="0"/>
    <w:rPr>
      <w:rFonts w:ascii="宋体" w:eastAsia="宋体"/>
      <w:b/>
      <w:snapToGrid/>
      <w:color w:val="auto"/>
      <w:spacing w:val="0"/>
      <w:w w:val="100"/>
      <w:kern w:val="36"/>
      <w:position w:val="0"/>
      <w:sz w:val="48"/>
      <w:szCs w:val="21"/>
      <w:u w:val="none" w:color="auto"/>
      <w:shd w:val="clear" w:color="auto" w:fill="auto"/>
      <w:vertAlign w:val="baseline"/>
      <w:lang w:val="en-US" w:eastAsia="zh-CN" w:bidi="ar-SA"/>
    </w:rPr>
  </w:style>
  <w:style w:type="character" w:customStyle="1" w:styleId="9">
    <w:name w:val="heading 2 Char"/>
    <w:basedOn w:val="6"/>
    <w:link w:val="3"/>
    <w:qFormat/>
    <w:uiPriority w:val="0"/>
    <w:rPr>
      <w:rFonts w:ascii="宋体" w:eastAsia="宋体"/>
      <w:b/>
      <w:snapToGrid/>
      <w:color w:val="auto"/>
      <w:spacing w:val="0"/>
      <w:w w:val="100"/>
      <w:kern w:val="0"/>
      <w:position w:val="0"/>
      <w:sz w:val="36"/>
      <w:szCs w:val="21"/>
      <w:u w:val="none" w:color="auto"/>
      <w:shd w:val="clear" w:color="auto" w:fill="auto"/>
      <w:vertAlign w:val="baseline"/>
      <w:lang w:val="en-US" w:eastAsia="zh-CN" w:bidi="ar-SA"/>
    </w:rPr>
  </w:style>
  <w:style w:type="character" w:customStyle="1" w:styleId="10">
    <w:name w:val="heading 3 Char"/>
    <w:basedOn w:val="6"/>
    <w:link w:val="4"/>
    <w:qFormat/>
    <w:uiPriority w:val="0"/>
    <w:rPr>
      <w:rFonts w:ascii="宋体" w:eastAsia="宋体"/>
      <w:b/>
      <w:snapToGrid/>
      <w:color w:val="auto"/>
      <w:spacing w:val="0"/>
      <w:w w:val="100"/>
      <w:kern w:val="0"/>
      <w:position w:val="0"/>
      <w:sz w:val="27"/>
      <w:szCs w:val="21"/>
      <w:u w:val="none" w:color="auto"/>
      <w:shd w:val="clear" w:color="auto" w:fill="auto"/>
      <w:vertAlign w:val="baseline"/>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xmlns="http://www.yozosoft.com.cn/officeDocument/2016/customData">
    <docPr xmlns="http://www.yozosoft.com.cn/officeDocument/2016/customData" revisions="3 0 5 0 0 0 1 0 0 0 26650 1 1 1 1 1"/>
    <sectPr xmlns="http://www.yozosoft.com.cn/officeDocument/2016/customData"/>
  </customProps>
</customData>
</file>

<file path=customXml/itemProps1.xml><?xml version="1.0" encoding="utf-8"?>
<ds:datastoreItem xmlns:ds="http://schemas.openxmlformats.org/officeDocument/2006/customXml" ds:itemID="{46F4F06A-DB4D-451B-9179-107574B4C097}">
  <ds:schemaRefs/>
</ds:datastoreItem>
</file>

<file path=docProps/app.xml><?xml version="1.0" encoding="utf-8"?>
<Properties xmlns="http://schemas.openxmlformats.org/officeDocument/2006/extended-properties" xmlns:vt="http://schemas.openxmlformats.org/officeDocument/2006/docPropsVTypes">
  <Template>Normal.eit</Template>
  <Company>Yozosoft</Company>
  <Pages>2</Pages>
  <Words>0</Words>
  <Characters>1097</Characters>
  <Lines>0</Lines>
  <Paragraphs>45</Paragraphs>
  <TotalTime>6</TotalTime>
  <ScaleCrop>false</ScaleCrop>
  <LinksUpToDate>false</LinksUpToDate>
  <CharactersWithSpaces>1463</CharactersWithSpaces>
  <Application>WPS Office_11.8.2.12219_F1E327BC-269C-435d-A152-05C5408002CA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2021-05-08T15:28:00Z</dcterms:created>
  <dc:creator>User274</dc:creator>
  <cp:lastModifiedBy>user</cp:lastModifiedBy>
  <dcterms:modified xsi:type="dcterms:W3CDTF">2026-09-21T11:14:05Z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0BF2FBAA46D257C145A0B06A67A634D3</vt:lpwstr>
  </property>
</Properties>
</file>